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eastAsiaTheme="minorEastAsia"/>
          <w:b/>
          <w:bCs/>
          <w:sz w:val="28"/>
          <w:lang w:val="en-US" w:eastAsia="zh-CN"/>
        </w:rPr>
      </w:pPr>
      <w:r>
        <w:rPr>
          <w:rFonts w:ascii="Arial" w:hAnsi="Arial" w:cs="Arial"/>
          <w:b/>
          <w:bCs/>
          <w:sz w:val="28"/>
        </w:rPr>
        <w:t xml:space="preserve">3GPP TSG RAN </w:t>
      </w:r>
      <w:r>
        <w:rPr>
          <w:rFonts w:ascii="Arial" w:hAnsi="Arial" w:eastAsia="Batang" w:cs="Arial"/>
          <w:b/>
          <w:bCs/>
          <w:sz w:val="28"/>
          <w:szCs w:val="24"/>
        </w:rPr>
        <w:t>WG1 #110bis-e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R1-220</w:t>
      </w:r>
      <w:r>
        <w:rPr>
          <w:rFonts w:hint="eastAsia" w:ascii="Arial" w:hAnsi="Arial" w:cs="Arial"/>
          <w:b/>
          <w:bCs/>
          <w:sz w:val="28"/>
          <w:lang w:val="en-US" w:eastAsia="zh-CN"/>
        </w:rPr>
        <w:t>9768</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szCs w:val="24"/>
          <w:lang w:eastAsia="ja-JP"/>
        </w:rPr>
        <w:t>e-Meeting, October 10</w:t>
      </w:r>
      <w:r>
        <w:rPr>
          <w:rFonts w:hint="eastAsia" w:ascii="Malgun Gothic" w:hAnsi="Malgun Gothic" w:eastAsia="Malgun Gothic" w:cs="Malgun Gothic"/>
          <w:b/>
          <w:bCs/>
          <w:sz w:val="28"/>
          <w:szCs w:val="24"/>
          <w:vertAlign w:val="superscript"/>
          <w:lang w:eastAsia="ko-KR"/>
        </w:rPr>
        <w:t>th</w:t>
      </w:r>
      <w:r>
        <w:rPr>
          <w:rFonts w:ascii="Arial" w:hAnsi="Arial" w:eastAsia="MS Mincho" w:cs="Arial"/>
          <w:b/>
          <w:bCs/>
          <w:sz w:val="28"/>
          <w:szCs w:val="24"/>
          <w:lang w:eastAsia="ja-JP"/>
        </w:rPr>
        <w:t xml:space="preserve"> – 19</w:t>
      </w:r>
      <w:r>
        <w:rPr>
          <w:rFonts w:ascii="Arial" w:hAnsi="Arial" w:eastAsia="MS Mincho" w:cs="Arial"/>
          <w:b/>
          <w:bCs/>
          <w:sz w:val="28"/>
          <w:szCs w:val="24"/>
          <w:vertAlign w:val="superscript"/>
          <w:lang w:eastAsia="ja-JP"/>
        </w:rPr>
        <w:t>th</w:t>
      </w:r>
      <w:r>
        <w:rPr>
          <w:rFonts w:ascii="Arial" w:hAnsi="Arial" w:eastAsia="MS Mincho" w:cs="Arial"/>
          <w:b/>
          <w:bCs/>
          <w:sz w:val="28"/>
          <w:szCs w:val="24"/>
          <w:lang w:eastAsia="ja-JP"/>
        </w:rPr>
        <w:t>, 2022</w:t>
      </w:r>
    </w:p>
    <w:p>
      <w:pPr>
        <w:rPr>
          <w:szCs w:val="20"/>
        </w:rPr>
      </w:pP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9.1</w:t>
      </w:r>
      <w:r>
        <w:rPr>
          <w:rFonts w:hint="default" w:ascii="Arial" w:hAnsi="Arial"/>
          <w:b/>
          <w:sz w:val="22"/>
          <w:szCs w:val="20"/>
          <w:lang w:eastAsia="zh-CN"/>
          <w:woUserID w:val="1"/>
        </w:rPr>
        <w:t>1</w:t>
      </w:r>
      <w:r>
        <w:rPr>
          <w:rFonts w:hint="eastAsia" w:ascii="Arial" w:hAnsi="Arial"/>
          <w:b/>
          <w:sz w:val="22"/>
          <w:szCs w:val="20"/>
          <w:lang w:val="en-US" w:eastAsia="zh-CN"/>
        </w:rPr>
        <w:t>.1</w:t>
      </w: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0" w:name="Title"/>
      <w:bookmarkEnd w:id="0"/>
      <w:r>
        <w:rPr>
          <w:rFonts w:ascii="Arial" w:hAnsi="Arial"/>
          <w:b/>
          <w:sz w:val="22"/>
          <w:szCs w:val="20"/>
        </w:rPr>
        <w:tab/>
      </w:r>
      <w:r>
        <w:rPr>
          <w:rFonts w:hint="eastAsia" w:ascii="Arial" w:hAnsi="Arial"/>
          <w:b/>
          <w:sz w:val="22"/>
          <w:szCs w:val="20"/>
        </w:rPr>
        <w:t>Discussion on coverage enhancement for NR NTN</w:t>
      </w:r>
    </w:p>
    <w:p>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hint="eastAsia" w:ascii="Arial" w:hAnsi="Arial"/>
          <w:b/>
          <w:sz w:val="22"/>
          <w:szCs w:val="20"/>
        </w:rPr>
        <w:t>Discussion and Decision</w:t>
      </w:r>
    </w:p>
    <w:p>
      <w:pPr>
        <w:pBdr>
          <w:bottom w:val="single" w:color="auto" w:sz="4" w:space="1"/>
        </w:pBdr>
        <w:spacing w:after="0"/>
        <w:jc w:val="left"/>
        <w:rPr>
          <w:b/>
          <w:bCs/>
          <w:sz w:val="16"/>
          <w:szCs w:val="16"/>
        </w:rPr>
      </w:pPr>
    </w:p>
    <w:p>
      <w:pPr>
        <w:pStyle w:val="2"/>
        <w:numPr>
          <w:ilvl w:val="0"/>
          <w:numId w:val="0"/>
        </w:numPr>
        <w:ind w:leftChars="0"/>
        <w:outlineLvl w:val="0"/>
        <w:rPr>
          <w:rFonts w:eastAsiaTheme="minorEastAsia"/>
          <w:color w:val="000000" w:themeColor="text1"/>
          <w:lang w:eastAsia="zh-CN"/>
          <w14:textFill>
            <w14:solidFill>
              <w14:schemeClr w14:val="tx1"/>
            </w14:solidFill>
          </w14:textFill>
        </w:rPr>
      </w:pPr>
      <w:bookmarkStart w:id="2" w:name="_Ref124589665"/>
      <w:bookmarkStart w:id="3" w:name="_Ref124671424"/>
      <w:bookmarkStart w:id="4" w:name="_Ref71620620"/>
    </w:p>
    <w:p>
      <w:pPr>
        <w:pStyle w:val="2"/>
        <w:numPr>
          <w:ilvl w:val="0"/>
          <w:numId w:val="2"/>
        </w:numPr>
        <w:outlineLvl w:val="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Introduction</w:t>
      </w:r>
    </w:p>
    <w:p>
      <w:pPr>
        <w:widowControl w:val="0"/>
        <w:overflowPunct w:val="0"/>
        <w:autoSpaceDE w:val="0"/>
        <w:autoSpaceDN w:val="0"/>
        <w:adjustRightInd w:val="0"/>
        <w:spacing w:after="0"/>
        <w:textAlignment w:val="baseline"/>
        <w:rPr>
          <w:rFonts w:hint="eastAsia" w:ascii="Times New Roman" w:hAnsi="Times New Roman" w:cs="Times New Roman" w:eastAsiaTheme="minorEastAsia"/>
          <w:sz w:val="22"/>
          <w:szCs w:val="22"/>
          <w:lang w:val="en-US" w:eastAsia="zh-CN" w:bidi="ar-SA"/>
        </w:rPr>
      </w:pPr>
      <w:bookmarkStart w:id="5" w:name="_Hlk100744619"/>
    </w:p>
    <w:p>
      <w:pPr>
        <w:pStyle w:val="13"/>
        <w:ind w:left="0" w:leftChars="0" w:hanging="10" w:firstLineChars="0"/>
        <w:jc w:val="left"/>
        <w:rPr>
          <w:rFonts w:hint="default" w:ascii="Times New Roman" w:hAnsi="Times New Roman" w:cs="Times New Roman" w:eastAsiaTheme="minorEastAsia"/>
          <w:sz w:val="22"/>
          <w:szCs w:val="22"/>
          <w:lang w:val="en-US" w:eastAsia="zh-CN" w:bidi="ar-SA"/>
        </w:rPr>
      </w:pPr>
      <w:r>
        <w:rPr>
          <w:rFonts w:hint="eastAsia" w:ascii="Times New Roman" w:hAnsi="Times New Roman" w:cs="Times New Roman" w:eastAsiaTheme="minorEastAsia"/>
          <w:sz w:val="22"/>
          <w:szCs w:val="22"/>
          <w:lang w:val="en-US" w:eastAsia="zh-CN" w:bidi="ar-SA"/>
        </w:rPr>
        <w:t>For the WI of  coverage enhancement in NR NTN for Rel-18, agreements, conclusions and observations have been achieved in RAN1#110</w:t>
      </w:r>
      <w:r>
        <w:rPr>
          <w:rFonts w:hint="eastAsia" w:cs="Times New Roman"/>
          <w:sz w:val="22"/>
          <w:szCs w:val="22"/>
          <w:lang w:val="en-US" w:eastAsia="zh-CN" w:bidi="ar-SA"/>
        </w:rPr>
        <w:t xml:space="preserve"> as following </w:t>
      </w:r>
      <w:r>
        <w:rPr>
          <w:rFonts w:hint="eastAsia" w:ascii="Times New Roman" w:hAnsi="Times New Roman" w:cs="Times New Roman" w:eastAsiaTheme="minorEastAsia"/>
          <w:sz w:val="22"/>
          <w:szCs w:val="22"/>
          <w:lang w:val="en-US" w:eastAsia="zh-CN" w:bidi="ar-SA"/>
        </w:rPr>
        <w:t xml:space="preserve"> </w:t>
      </w:r>
      <w:r>
        <w:rPr>
          <w:rFonts w:hint="eastAsia"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1</w:t>
      </w:r>
      <w:r>
        <w:rPr>
          <w:rFonts w:hint="eastAsia"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w:t>
      </w:r>
    </w:p>
    <w:p>
      <w:pPr>
        <w:pStyle w:val="13"/>
        <w:ind w:left="110" w:hanging="110" w:hangingChars="50"/>
        <w:rPr>
          <w:rFonts w:hint="default" w:ascii="Times New Roman" w:hAnsi="Times New Roman" w:cs="Times New Roman" w:eastAsiaTheme="minorEastAsia"/>
          <w:sz w:val="22"/>
          <w:szCs w:val="22"/>
          <w:lang w:val="en-US" w:eastAsia="zh-CN" w:bidi="ar-SA"/>
        </w:rPr>
      </w:pPr>
      <w:r>
        <w:rPr>
          <w:sz w:val="22"/>
        </w:rPr>
        <mc:AlternateContent>
          <mc:Choice Requires="wps">
            <w:drawing>
              <wp:anchor distT="0" distB="0" distL="114300" distR="114300" simplePos="0" relativeHeight="251660288" behindDoc="0" locked="0" layoutInCell="1" allowOverlap="1">
                <wp:simplePos x="0" y="0"/>
                <wp:positionH relativeFrom="column">
                  <wp:posOffset>-184785</wp:posOffset>
                </wp:positionH>
                <wp:positionV relativeFrom="paragraph">
                  <wp:posOffset>47625</wp:posOffset>
                </wp:positionV>
                <wp:extent cx="6290310" cy="5416550"/>
                <wp:effectExtent l="4445" t="4445" r="14605" b="19685"/>
                <wp:wrapTopAndBottom/>
                <wp:docPr id="1" name="文本框 1"/>
                <wp:cNvGraphicFramePr/>
                <a:graphic xmlns:a="http://schemas.openxmlformats.org/drawingml/2006/main">
                  <a:graphicData uri="http://schemas.microsoft.com/office/word/2010/wordprocessingShape">
                    <wps:wsp>
                      <wps:cNvSpPr txBox="1"/>
                      <wps:spPr>
                        <a:xfrm>
                          <a:off x="889000" y="5123815"/>
                          <a:ext cx="6290310" cy="54165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id="2">
                        <w:txbxContent>
                          <w:p/>
                          <w:p>
                            <w:pPr>
                              <w:spacing w:after="0" w:line="240" w:lineRule="auto"/>
                              <w:rPr>
                                <w:b/>
                                <w:lang w:eastAsia="zh-CN"/>
                              </w:rPr>
                            </w:pPr>
                            <w:r>
                              <w:rPr>
                                <w:b/>
                                <w:lang w:eastAsia="zh-CN"/>
                              </w:rPr>
                              <w:t>Conclusion</w:t>
                            </w:r>
                          </w:p>
                          <w:p>
                            <w:pPr>
                              <w:spacing w:after="0" w:line="240" w:lineRule="auto"/>
                              <w:rPr>
                                <w:lang w:eastAsia="zh-CN"/>
                              </w:rPr>
                            </w:pPr>
                            <w:r>
                              <w:rPr>
                                <w:lang w:eastAsia="zh-CN"/>
                              </w:rPr>
                              <w:t>For Rel-18 coverage enhancement in NTN, NLOS environment is deprioritized.</w:t>
                            </w:r>
                          </w:p>
                          <w:p>
                            <w:pPr>
                              <w:spacing w:after="0" w:line="240" w:lineRule="auto"/>
                              <w:rPr>
                                <w:sz w:val="22"/>
                                <w:szCs w:val="18"/>
                              </w:rPr>
                            </w:pPr>
                          </w:p>
                          <w:p>
                            <w:pPr>
                              <w:spacing w:after="0" w:line="240" w:lineRule="auto"/>
                              <w:rPr>
                                <w:rFonts w:ascii="Times" w:hAnsi="Times" w:eastAsia="游ゴシック" w:cs="Times"/>
                                <w:b/>
                                <w:bCs/>
                                <w:sz w:val="22"/>
                                <w:szCs w:val="22"/>
                                <w:lang w:eastAsia="zh-CN"/>
                              </w:rPr>
                            </w:pPr>
                            <w:r>
                              <w:rPr>
                                <w:rFonts w:ascii="Times" w:hAnsi="Times" w:eastAsia="游ゴシック" w:cs="Times"/>
                                <w:b/>
                                <w:bCs/>
                                <w:sz w:val="22"/>
                                <w:szCs w:val="22"/>
                                <w:highlight w:val="green"/>
                                <w:lang w:eastAsia="zh-CN"/>
                              </w:rPr>
                              <w:t>Agreement</w:t>
                            </w:r>
                          </w:p>
                          <w:p>
                            <w:pPr>
                              <w:spacing w:after="0" w:line="240" w:lineRule="auto"/>
                              <w:rPr>
                                <w:rFonts w:ascii="Times" w:hAnsi="Times" w:eastAsia="游ゴシック" w:cs="Times"/>
                                <w:sz w:val="22"/>
                                <w:szCs w:val="22"/>
                                <w:lang w:eastAsia="en-US"/>
                              </w:rPr>
                            </w:pPr>
                            <w:r>
                              <w:rPr>
                                <w:rFonts w:ascii="Times" w:hAnsi="Times" w:eastAsia="游ゴシック" w:cs="Times"/>
                                <w:sz w:val="22"/>
                                <w:szCs w:val="22"/>
                                <w:lang w:eastAsia="en-US"/>
                              </w:rPr>
                              <w:t xml:space="preserve">For NR-NTN coverage enhancement, </w:t>
                            </w:r>
                            <w:r>
                              <w:rPr>
                                <w:rFonts w:ascii="Times" w:hAnsi="Times" w:eastAsia="Batang"/>
                                <w:sz w:val="22"/>
                                <w:szCs w:val="18"/>
                                <w:lang w:val="en-US" w:eastAsia="en-US"/>
                              </w:rPr>
                              <w:t>RAN1 concludes that coverage enhancements specifically for GEO and MEO are de-prioritized in Rel-18.</w:t>
                            </w:r>
                          </w:p>
                          <w:p>
                            <w:pPr>
                              <w:numPr>
                                <w:ilvl w:val="0"/>
                                <w:numId w:val="3"/>
                              </w:num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Potential enhancements for LEO can also apply to GEO and MEO</w:t>
                            </w:r>
                          </w:p>
                          <w:p>
                            <w:pPr>
                              <w:spacing w:after="0" w:line="240" w:lineRule="auto"/>
                              <w:rPr>
                                <w:sz w:val="22"/>
                                <w:szCs w:val="18"/>
                              </w:rPr>
                            </w:pPr>
                          </w:p>
                          <w:p>
                            <w:pPr>
                              <w:spacing w:after="0" w:line="240" w:lineRule="auto"/>
                              <w:rPr>
                                <w:rFonts w:ascii="Times" w:hAnsi="Times" w:eastAsia="游ゴシック" w:cs="Times"/>
                                <w:b/>
                                <w:bCs/>
                                <w:sz w:val="22"/>
                                <w:szCs w:val="22"/>
                                <w:lang w:eastAsia="zh-CN"/>
                              </w:rPr>
                            </w:pPr>
                            <w:r>
                              <w:rPr>
                                <w:rFonts w:ascii="Times" w:hAnsi="Times" w:eastAsia="游ゴシック" w:cs="Times"/>
                                <w:b/>
                                <w:bCs/>
                                <w:sz w:val="22"/>
                                <w:szCs w:val="22"/>
                                <w:highlight w:val="green"/>
                                <w:lang w:eastAsia="zh-CN"/>
                              </w:rPr>
                              <w:t>Agreement</w:t>
                            </w:r>
                          </w:p>
                          <w:p>
                            <w:pPr>
                              <w:spacing w:after="0" w:line="240" w:lineRule="auto"/>
                              <w:rPr>
                                <w:rFonts w:ascii="Times" w:hAnsi="Times" w:eastAsia="游ゴシック"/>
                                <w:sz w:val="22"/>
                                <w:szCs w:val="22"/>
                                <w:lang w:eastAsia="zh-CN"/>
                              </w:rPr>
                            </w:pPr>
                            <w:r>
                              <w:rPr>
                                <w:rFonts w:ascii="Times" w:hAnsi="Times" w:eastAsia="游ゴシック" w:cs="Times"/>
                                <w:sz w:val="22"/>
                                <w:szCs w:val="22"/>
                                <w:lang w:eastAsia="en-US"/>
                              </w:rPr>
                              <w:t xml:space="preserve">For NR-NTN coverage enhancement in Rel-18, link budget of parameter set-1 for LEO-1200 operating at LOS is </w:t>
                            </w:r>
                            <w:r>
                              <w:rPr>
                                <w:rFonts w:ascii="Times" w:hAnsi="Times" w:eastAsia="游ゴシック"/>
                                <w:sz w:val="22"/>
                                <w:szCs w:val="22"/>
                                <w:lang w:eastAsia="zh-CN"/>
                              </w:rPr>
                              <w:t>considered as the target to evaluate whether each channel/signal with the existing specification needs to be enhanced or not. The targeted performances are used to evaluate the following services:</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 xml:space="preserve">VoIP using AMR 4.75 kbps. </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 xml:space="preserve">Low data rate of 3 kbps. </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Potential enhancements for deployments with parameter set-1 can also apply for deployments for parameter set-2</w:t>
                            </w:r>
                          </w:p>
                          <w:p>
                            <w:pPr>
                              <w:snapToGrid w:val="0"/>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PUCCH format 1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Five sources observed that the existing specification can meet the performance requirement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Conclusion</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enhancement is unnecessary for PUCCH format 1 with </w:t>
                            </w:r>
                            <w:r>
                              <w:rPr>
                                <w:rFonts w:ascii="Times" w:hAnsi="Times" w:eastAsia="游ゴシック" w:cs="Times"/>
                                <w:sz w:val="22"/>
                                <w:szCs w:val="22"/>
                                <w:lang w:eastAsia="en-US"/>
                              </w:rPr>
                              <w:t>parameter set-1 for LEO-1200 operating at LOS, assuming -5dBi UE antenna gain</w:t>
                            </w:r>
                            <w:r>
                              <w:rPr>
                                <w:rFonts w:ascii="Times" w:hAnsi="Times" w:eastAsia="Batang"/>
                                <w:sz w:val="22"/>
                                <w:szCs w:val="18"/>
                                <w:lang w:val="en-US" w:eastAsia="en-US"/>
                              </w:rPr>
                              <w: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PUCCH format 3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Six sources observed that the existing specification can meet the performance requirement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One source observed that the existing specification cannot meet the performance requirement with at least 0.6 dB gap</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val="en-US" w:eastAsia="en-US"/>
                              </w:rPr>
                            </w:pPr>
                            <w:r>
                              <w:rPr>
                                <w:rFonts w:ascii="Times" w:hAnsi="Times" w:eastAsia="Batang"/>
                                <w:b/>
                                <w:sz w:val="22"/>
                                <w:szCs w:val="18"/>
                                <w:lang w:val="en-US" w:eastAsia="en-US"/>
                              </w:rPr>
                              <w:t>Conclusion</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enhancement is unnecessary for PUCCH format 3 with </w:t>
                            </w:r>
                            <w:r>
                              <w:rPr>
                                <w:rFonts w:ascii="Times" w:hAnsi="Times" w:eastAsia="游ゴシック" w:cs="Times"/>
                                <w:sz w:val="22"/>
                                <w:szCs w:val="22"/>
                                <w:lang w:eastAsia="en-US"/>
                              </w:rPr>
                              <w:t>parameter set-1 for LEO-1200 operating at LOS, assuming -5dBi UE antenna gain</w:t>
                            </w:r>
                            <w:r>
                              <w:rPr>
                                <w:rFonts w:ascii="Times" w:hAnsi="Times" w:eastAsia="Batang"/>
                                <w:sz w:val="22"/>
                                <w:szCs w:val="18"/>
                                <w:lang w:val="en-US" w:eastAsia="en-US"/>
                              </w:rPr>
                              <w: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PUCCH for Msg4 HARQ-ACK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One source observed that the existing specification can meet the performance requirement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Three sources observed that the existing specification cannot meet the performance requirement with a gap of 1.8 to 6 dB.</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val="en-US" w:eastAsia="en-US"/>
                              </w:rPr>
                            </w:pPr>
                            <w:r>
                              <w:rPr>
                                <w:rFonts w:ascii="Times" w:hAnsi="Times" w:eastAsia="Batang"/>
                                <w:b/>
                                <w:sz w:val="22"/>
                                <w:szCs w:val="18"/>
                                <w:lang w:val="en-US" w:eastAsia="en-US"/>
                              </w:rPr>
                              <w:t>Conclusion</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PUCCH for Msg4 HARQ-ACK should be enhanced to meet the coverage requirements for </w:t>
                            </w:r>
                            <w:r>
                              <w:rPr>
                                <w:rFonts w:ascii="Times" w:hAnsi="Times" w:eastAsia="游ゴシック" w:cs="Times"/>
                                <w:sz w:val="22"/>
                                <w:szCs w:val="22"/>
                                <w:lang w:eastAsia="en-US"/>
                              </w:rPr>
                              <w:t>parameter set-1 for LEO-1200 operating at LOS, assuming -5dBi UE antenna gain</w:t>
                            </w:r>
                            <w:r>
                              <w:rPr>
                                <w:rFonts w:ascii="Times" w:hAnsi="Times" w:eastAsia="Batang"/>
                                <w:sz w:val="22"/>
                                <w:szCs w:val="18"/>
                                <w:lang w:val="en-US" w:eastAsia="en-US"/>
                              </w:rPr>
                              <w: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PUSCH for low data rate of 3 kbps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Eight sources observed that the existing specification can meet the performance requirement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val="en-US" w:eastAsia="en-US"/>
                              </w:rPr>
                            </w:pPr>
                            <w:r>
                              <w:rPr>
                                <w:rFonts w:ascii="Times" w:hAnsi="Times" w:eastAsia="Batang"/>
                                <w:b/>
                                <w:sz w:val="22"/>
                                <w:szCs w:val="18"/>
                                <w:lang w:val="en-US" w:eastAsia="en-US"/>
                              </w:rPr>
                              <w:t>Conclusion</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enhancement is unnecessary for PUSCH for low data rate of 3 kbps with </w:t>
                            </w:r>
                            <w:r>
                              <w:rPr>
                                <w:rFonts w:ascii="Times" w:hAnsi="Times" w:eastAsia="游ゴシック" w:cs="Times"/>
                                <w:sz w:val="22"/>
                                <w:szCs w:val="22"/>
                                <w:lang w:eastAsia="en-US"/>
                              </w:rPr>
                              <w:t>parameter set-1 for LEO-1200 operating at LOS, assuming -5dBi UE antenna gain</w:t>
                            </w:r>
                            <w:r>
                              <w:rPr>
                                <w:rFonts w:ascii="Times" w:hAnsi="Times" w:eastAsia="Batang"/>
                                <w:sz w:val="22"/>
                                <w:szCs w:val="18"/>
                                <w:lang w:val="en-US" w:eastAsia="en-US"/>
                              </w:rPr>
                              <w:t>.</w:t>
                            </w:r>
                          </w:p>
                          <w:p>
                            <w:pPr>
                              <w:spacing w:after="0" w:line="240" w:lineRule="auto"/>
                              <w:rPr>
                                <w:sz w:val="22"/>
                                <w:szCs w:val="18"/>
                                <w:lang w:val="en-US"/>
                              </w:rPr>
                            </w:pPr>
                          </w:p>
                          <w:p>
                            <w:pPr>
                              <w:spacing w:after="0" w:line="240" w:lineRule="auto"/>
                              <w:rPr>
                                <w:sz w:val="22"/>
                                <w:szCs w:val="18"/>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For PRACH format 0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One source observed that the existing specification can meet the performance requirement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Eight sources observed that the existing specification cannot meet the performance requirement with a gap of 0.3 to 5.3 dB</w:t>
                            </w:r>
                          </w:p>
                          <w:p>
                            <w:pPr>
                              <w:snapToGrid w:val="0"/>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For PRACH format 2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Ten sources observed that the existing specification can meet the performance requirement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Two sources observed that the existing specification cannot meet the performance requirement with a gap of 1.9 to 8.8 dB</w:t>
                            </w:r>
                          </w:p>
                          <w:p>
                            <w:pPr>
                              <w:snapToGrid w:val="0"/>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For PRACH format B4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Ten sources observed that the existing specification cannot meet the performance requirement with a gap of 1.2 to 11.9 dB</w:t>
                            </w:r>
                          </w:p>
                          <w:p>
                            <w:pPr>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Note: for the observations above, some sources used 1 Rx antenna and some sources used 2 Rx antennas at the satellite.</w:t>
                            </w:r>
                          </w:p>
                          <w:p>
                            <w:pPr>
                              <w:spacing w:after="0" w:line="240" w:lineRule="auto"/>
                              <w:rPr>
                                <w:rFonts w:ascii="Times" w:hAnsi="Times" w:eastAsia="Batang"/>
                                <w:sz w:val="20"/>
                                <w:lang w:eastAsia="zh-CN"/>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PUSCH for VoIP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Six sources observed that the existing specification can meet the performance requirement with a margin of 0 to 1.7 dB</w:t>
                            </w:r>
                          </w:p>
                          <w:p>
                            <w:pPr>
                              <w:numPr>
                                <w:ilvl w:val="1"/>
                                <w:numId w:val="3"/>
                              </w:numPr>
                              <w:snapToGrid w:val="0"/>
                              <w:spacing w:after="0" w:line="240" w:lineRule="auto"/>
                              <w:rPr>
                                <w:rFonts w:ascii="Times" w:hAnsi="Times" w:eastAsia="Batang"/>
                                <w:sz w:val="22"/>
                                <w:szCs w:val="18"/>
                                <w:lang w:val="en-US" w:eastAsia="en-US"/>
                              </w:rPr>
                            </w:pPr>
                            <w:r>
                              <w:rPr>
                                <w:rFonts w:hint="eastAsia" w:ascii="Times" w:hAnsi="Times" w:eastAsia="Times New Roman"/>
                                <w:sz w:val="22"/>
                                <w:szCs w:val="18"/>
                                <w:lang w:val="en-US" w:eastAsia="en-US"/>
                              </w:rPr>
                              <w:t>O</w:t>
                            </w:r>
                            <w:r>
                              <w:rPr>
                                <w:rFonts w:ascii="Times" w:hAnsi="Times" w:eastAsia="Times New Roman"/>
                                <w:sz w:val="22"/>
                                <w:szCs w:val="18"/>
                                <w:lang w:val="en-US" w:eastAsia="en-US"/>
                              </w:rPr>
                              <w:t>ne company simulated by using 20 repetitions without DMRS bundling</w:t>
                            </w:r>
                          </w:p>
                          <w:p>
                            <w:pPr>
                              <w:numPr>
                                <w:ilvl w:val="1"/>
                                <w:numId w:val="3"/>
                              </w:numPr>
                              <w:snapToGrid w:val="0"/>
                              <w:spacing w:after="0" w:line="240" w:lineRule="auto"/>
                              <w:rPr>
                                <w:rFonts w:ascii="Times" w:hAnsi="Times" w:eastAsia="Batang"/>
                                <w:sz w:val="22"/>
                                <w:szCs w:val="18"/>
                                <w:lang w:val="en-US" w:eastAsia="en-US"/>
                              </w:rPr>
                            </w:pPr>
                            <w:r>
                              <w:rPr>
                                <w:rFonts w:ascii="Times" w:hAnsi="Times" w:eastAsia="Times New Roman"/>
                                <w:sz w:val="22"/>
                                <w:szCs w:val="18"/>
                                <w:lang w:val="en-US" w:eastAsia="en-US"/>
                              </w:rPr>
                              <w:t>Four companies simulated by using 20 repetitions with DMRS bundling</w:t>
                            </w:r>
                          </w:p>
                          <w:p>
                            <w:pPr>
                              <w:numPr>
                                <w:ilvl w:val="1"/>
                                <w:numId w:val="3"/>
                              </w:numPr>
                              <w:snapToGrid w:val="0"/>
                              <w:spacing w:after="0" w:line="240" w:lineRule="auto"/>
                              <w:rPr>
                                <w:rFonts w:ascii="Times" w:hAnsi="Times" w:eastAsia="Batang"/>
                                <w:sz w:val="22"/>
                                <w:szCs w:val="18"/>
                                <w:lang w:val="en-US" w:eastAsia="en-US"/>
                              </w:rPr>
                            </w:pPr>
                            <w:r>
                              <w:rPr>
                                <w:rFonts w:hint="eastAsia" w:ascii="Times" w:hAnsi="Times" w:eastAsia="Times New Roman"/>
                                <w:sz w:val="22"/>
                                <w:szCs w:val="18"/>
                                <w:lang w:val="en-US" w:eastAsia="en-US"/>
                              </w:rPr>
                              <w:t>O</w:t>
                            </w:r>
                            <w:r>
                              <w:rPr>
                                <w:rFonts w:ascii="Times" w:hAnsi="Times" w:eastAsia="Times New Roman"/>
                                <w:sz w:val="22"/>
                                <w:szCs w:val="18"/>
                                <w:lang w:val="en-US" w:eastAsia="en-US"/>
                              </w:rPr>
                              <w:t>ne company simulated by using 32 repetitions with DMRS bundling</w:t>
                            </w:r>
                          </w:p>
                          <w:p>
                            <w:pPr>
                              <w:numPr>
                                <w:ilvl w:val="2"/>
                                <w:numId w:val="3"/>
                              </w:num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Note: this is the only result using </w:t>
                            </w:r>
                            <w:r>
                              <w:rPr>
                                <w:rFonts w:ascii="Times" w:hAnsi="Times" w:eastAsia="Times New Roman"/>
                                <w:sz w:val="22"/>
                                <w:szCs w:val="18"/>
                                <w:lang w:val="en-US" w:eastAsia="en-US"/>
                              </w:rPr>
                              <w:t>frame combining by application layer</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Nine sources observed that the existing specification cannot meet the performance requirement with a gap of 0.3 to 8.6 dB</w:t>
                            </w:r>
                          </w:p>
                          <w:p>
                            <w:pPr>
                              <w:numPr>
                                <w:ilvl w:val="1"/>
                                <w:numId w:val="3"/>
                              </w:numPr>
                              <w:snapToGrid w:val="0"/>
                              <w:spacing w:after="0" w:line="240" w:lineRule="auto"/>
                              <w:rPr>
                                <w:rFonts w:ascii="Times" w:hAnsi="Times" w:eastAsia="Batang"/>
                                <w:sz w:val="22"/>
                                <w:szCs w:val="18"/>
                                <w:lang w:val="en-US" w:eastAsia="en-US"/>
                              </w:rPr>
                            </w:pPr>
                            <w:r>
                              <w:rPr>
                                <w:rFonts w:ascii="Times" w:hAnsi="Times" w:eastAsia="Times New Roman"/>
                                <w:sz w:val="22"/>
                                <w:szCs w:val="18"/>
                                <w:lang w:val="en-US" w:eastAsia="en-US"/>
                              </w:rPr>
                              <w:t>Eight companies simulated by using 20 repetitions without DMRS bundling</w:t>
                            </w:r>
                          </w:p>
                          <w:p>
                            <w:pPr>
                              <w:numPr>
                                <w:ilvl w:val="1"/>
                                <w:numId w:val="3"/>
                              </w:numPr>
                              <w:snapToGrid w:val="0"/>
                              <w:spacing w:after="0" w:line="240" w:lineRule="auto"/>
                              <w:rPr>
                                <w:rFonts w:ascii="Times" w:hAnsi="Times" w:eastAsia="Batang"/>
                                <w:sz w:val="22"/>
                                <w:szCs w:val="18"/>
                                <w:lang w:val="en-US" w:eastAsia="en-US"/>
                              </w:rPr>
                            </w:pPr>
                            <w:r>
                              <w:rPr>
                                <w:rFonts w:hint="eastAsia" w:ascii="Times" w:hAnsi="Times" w:eastAsia="Times New Roman"/>
                                <w:sz w:val="22"/>
                                <w:szCs w:val="18"/>
                                <w:lang w:val="en-US" w:eastAsia="en-US"/>
                              </w:rPr>
                              <w:t>S</w:t>
                            </w:r>
                            <w:r>
                              <w:rPr>
                                <w:rFonts w:ascii="Times" w:hAnsi="Times" w:eastAsia="Times New Roman"/>
                                <w:sz w:val="22"/>
                                <w:szCs w:val="18"/>
                                <w:lang w:val="en-US" w:eastAsia="en-US"/>
                              </w:rPr>
                              <w:t>even companies simulated without frequency hopping</w:t>
                            </w:r>
                          </w:p>
                          <w:p>
                            <w:pPr>
                              <w:numPr>
                                <w:ilvl w:val="1"/>
                                <w:numId w:val="3"/>
                              </w:numPr>
                              <w:snapToGrid w:val="0"/>
                              <w:spacing w:after="0" w:line="240" w:lineRule="auto"/>
                              <w:rPr>
                                <w:rFonts w:ascii="Times" w:hAnsi="Times" w:eastAsia="Batang"/>
                                <w:sz w:val="22"/>
                                <w:szCs w:val="18"/>
                                <w:lang w:val="en-US" w:eastAsia="en-US"/>
                              </w:rPr>
                            </w:pPr>
                            <w:r>
                              <w:rPr>
                                <w:rFonts w:hint="eastAsia" w:ascii="Times" w:hAnsi="Times" w:eastAsia="Times New Roman"/>
                                <w:sz w:val="22"/>
                                <w:szCs w:val="18"/>
                                <w:lang w:val="en-US" w:eastAsia="en-US"/>
                              </w:rPr>
                              <w:t>O</w:t>
                            </w:r>
                            <w:r>
                              <w:rPr>
                                <w:rFonts w:ascii="Times" w:hAnsi="Times" w:eastAsia="Times New Roman"/>
                                <w:sz w:val="22"/>
                                <w:szCs w:val="18"/>
                                <w:lang w:val="en-US" w:eastAsia="en-US"/>
                              </w:rPr>
                              <w:t>ne company simulated by using 16 repetitions with DMRS bundling</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Note: for the observations above, some sources used 1 Rx antenna and some sources used 2 Rx antennas at the satellite.</w:t>
                            </w:r>
                          </w:p>
                          <w:p>
                            <w:pPr>
                              <w:spacing w:after="0" w:line="240" w:lineRule="auto"/>
                              <w:rPr>
                                <w:rFonts w:ascii="Times" w:hAnsi="Times" w:eastAsia="Batang"/>
                                <w:sz w:val="20"/>
                                <w:lang w:eastAsia="zh-CN"/>
                              </w:rPr>
                            </w:pPr>
                          </w:p>
                          <w:p>
                            <w:pPr>
                              <w:spacing w:before="120" w:beforeLines="50" w:after="120" w:afterLines="50" w:line="240" w:lineRule="auto"/>
                              <w:rPr>
                                <w:rFonts w:ascii="Times" w:hAnsi="Times" w:eastAsia="Batang"/>
                                <w:b/>
                                <w:sz w:val="22"/>
                                <w:szCs w:val="18"/>
                                <w:lang w:val="en-US" w:eastAsia="en-US"/>
                              </w:rPr>
                            </w:pPr>
                            <w:r>
                              <w:rPr>
                                <w:rFonts w:ascii="Times" w:hAnsi="Times" w:eastAsia="Batang"/>
                                <w:b/>
                                <w:sz w:val="22"/>
                                <w:szCs w:val="18"/>
                                <w:lang w:val="en-US" w:eastAsia="en-US"/>
                              </w:rPr>
                              <w:t>Observation</w:t>
                            </w:r>
                          </w:p>
                          <w:p>
                            <w:pPr>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enhancement for PUSCH for VoIP may be needed to meet the coverage requirements for </w:t>
                            </w:r>
                            <w:r>
                              <w:rPr>
                                <w:rFonts w:ascii="Times" w:hAnsi="Times" w:eastAsia="游ゴシック" w:cs="Times"/>
                                <w:sz w:val="22"/>
                                <w:szCs w:val="22"/>
                                <w:lang w:eastAsia="en-US"/>
                              </w:rPr>
                              <w:t>parameter set-1 for LEO-1200 operating at LOS, assuming -5dBi UE antenna gain, when DMRS bundling is not applied.</w:t>
                            </w:r>
                          </w:p>
                          <w:p>
                            <w:pPr>
                              <w:spacing w:after="0" w:line="240" w:lineRule="auto"/>
                              <w:rPr>
                                <w:rFonts w:ascii="Times" w:hAnsi="Times" w:eastAsia="Batang"/>
                                <w:sz w:val="20"/>
                                <w:lang w:eastAsia="zh-CN"/>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For Msg3 PUSCH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Eight sources observed that the existing specification can meet the performance requirement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One source observed that the existing specification cannot meet the performance requirement with a gap of 1.5 dB.</w:t>
                            </w:r>
                          </w:p>
                          <w:p>
                            <w:pPr>
                              <w:spacing w:after="0" w:line="240" w:lineRule="auto"/>
                              <w:rPr>
                                <w:rFonts w:ascii="Times" w:hAnsi="Times" w:eastAsia="Batang"/>
                                <w:sz w:val="20"/>
                                <w:lang w:eastAsia="zh-CN"/>
                              </w:rPr>
                            </w:pPr>
                          </w:p>
                          <w:p>
                            <w:pPr>
                              <w:spacing w:after="0" w:line="240" w:lineRule="auto"/>
                              <w:rPr>
                                <w:rFonts w:ascii="Times" w:hAnsi="Times" w:eastAsia="Batang"/>
                                <w:b/>
                                <w:sz w:val="22"/>
                                <w:szCs w:val="18"/>
                                <w:lang w:eastAsia="en-US"/>
                              </w:rPr>
                            </w:pPr>
                            <w:r>
                              <w:rPr>
                                <w:rFonts w:ascii="Times" w:hAnsi="Times" w:eastAsia="Batang"/>
                                <w:b/>
                                <w:sz w:val="22"/>
                                <w:szCs w:val="18"/>
                                <w:lang w:eastAsia="en-US"/>
                              </w:rPr>
                              <w:t>Conclusion</w:t>
                            </w:r>
                          </w:p>
                          <w:p>
                            <w:pPr>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RAN1 concluded that enhancement is unnecessary for Msg3 PUSCH with parameter set-1 for LEO-1200 operating at LOS, assuming -5dBi UE antenna gain.</w:t>
                            </w:r>
                          </w:p>
                          <w:p>
                            <w:pPr>
                              <w:spacing w:after="0" w:line="240" w:lineRule="auto"/>
                              <w:rPr>
                                <w:sz w:val="22"/>
                                <w:szCs w:val="18"/>
                                <w:lang w:val="en-US"/>
                              </w:rPr>
                            </w:pP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5pt;margin-top:3.75pt;height:426.5pt;width:495.3pt;mso-wrap-distance-bottom:0pt;mso-wrap-distance-top:0pt;z-index:251660288;mso-width-relative:page;mso-height-relative:page;" fillcolor="#FFFFFF [3201]" filled="t" stroked="t" coordsize="21600,21600" o:gfxdata="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BYAAABkcnMvUEsBAhQAFAAAAAgAh07iQDRx&#10;qrTXAAAACQEAAA8AAAAAAAAAAQAgAAAAOAAAAGRycy9kb3ducmV2LnhtbFBLAQIUABQAAAAIAIdO&#10;4kBGYwW6RwIAAHUEAAAOAAAAAAAAAAEAIAAAADwBAABkcnMvZTJvRG9jLnhtbFBLBQYAAAAABgAG&#10;AFkBAAD1BQAAAAA=&#10;">
                <v:fill on="t" focussize="0,0"/>
                <v:stroke weight="0.5pt" color="#000000 [3204]" joinstyle="round"/>
                <v:imagedata o:title=""/>
                <o:lock v:ext="edit" aspectratio="f"/>
                <v:textbox>
                  <w:txbxContent>
                    <w:p/>
                    <w:p>
                      <w:pPr>
                        <w:spacing w:after="0" w:line="240" w:lineRule="auto"/>
                        <w:rPr>
                          <w:b/>
                          <w:lang w:eastAsia="zh-CN"/>
                        </w:rPr>
                      </w:pPr>
                      <w:r>
                        <w:rPr>
                          <w:b/>
                          <w:lang w:eastAsia="zh-CN"/>
                        </w:rPr>
                        <w:t>Conclusion</w:t>
                      </w:r>
                    </w:p>
                    <w:p>
                      <w:pPr>
                        <w:spacing w:after="0" w:line="240" w:lineRule="auto"/>
                        <w:rPr>
                          <w:lang w:eastAsia="zh-CN"/>
                        </w:rPr>
                      </w:pPr>
                      <w:r>
                        <w:rPr>
                          <w:lang w:eastAsia="zh-CN"/>
                        </w:rPr>
                        <w:t>For Rel-18 coverage enhancement in NTN, NLOS environment is deprioritized.</w:t>
                      </w:r>
                    </w:p>
                    <w:p>
                      <w:pPr>
                        <w:spacing w:after="0" w:line="240" w:lineRule="auto"/>
                        <w:rPr>
                          <w:sz w:val="22"/>
                          <w:szCs w:val="18"/>
                        </w:rPr>
                      </w:pPr>
                    </w:p>
                    <w:p>
                      <w:pPr>
                        <w:spacing w:after="0" w:line="240" w:lineRule="auto"/>
                        <w:rPr>
                          <w:rFonts w:ascii="Times" w:hAnsi="Times" w:eastAsia="游ゴシック" w:cs="Times"/>
                          <w:b/>
                          <w:bCs/>
                          <w:sz w:val="22"/>
                          <w:szCs w:val="22"/>
                          <w:lang w:eastAsia="zh-CN"/>
                        </w:rPr>
                      </w:pPr>
                      <w:r>
                        <w:rPr>
                          <w:rFonts w:ascii="Times" w:hAnsi="Times" w:eastAsia="游ゴシック" w:cs="Times"/>
                          <w:b/>
                          <w:bCs/>
                          <w:sz w:val="22"/>
                          <w:szCs w:val="22"/>
                          <w:highlight w:val="green"/>
                          <w:lang w:eastAsia="zh-CN"/>
                        </w:rPr>
                        <w:t>Agreement</w:t>
                      </w:r>
                    </w:p>
                    <w:p>
                      <w:pPr>
                        <w:spacing w:after="0" w:line="240" w:lineRule="auto"/>
                        <w:rPr>
                          <w:rFonts w:ascii="Times" w:hAnsi="Times" w:eastAsia="游ゴシック" w:cs="Times"/>
                          <w:sz w:val="22"/>
                          <w:szCs w:val="22"/>
                          <w:lang w:eastAsia="en-US"/>
                        </w:rPr>
                      </w:pPr>
                      <w:r>
                        <w:rPr>
                          <w:rFonts w:ascii="Times" w:hAnsi="Times" w:eastAsia="游ゴシック" w:cs="Times"/>
                          <w:sz w:val="22"/>
                          <w:szCs w:val="22"/>
                          <w:lang w:eastAsia="en-US"/>
                        </w:rPr>
                        <w:t xml:space="preserve">For NR-NTN coverage enhancement, </w:t>
                      </w:r>
                      <w:r>
                        <w:rPr>
                          <w:rFonts w:ascii="Times" w:hAnsi="Times" w:eastAsia="Batang"/>
                          <w:sz w:val="22"/>
                          <w:szCs w:val="18"/>
                          <w:lang w:val="en-US" w:eastAsia="en-US"/>
                        </w:rPr>
                        <w:t>RAN1 concludes that coverage enhancements specifically for GEO and MEO are de-prioritized in Rel-18.</w:t>
                      </w:r>
                    </w:p>
                    <w:p>
                      <w:pPr>
                        <w:numPr>
                          <w:ilvl w:val="0"/>
                          <w:numId w:val="3"/>
                        </w:num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Potential enhancements for LEO can also apply to GEO and MEO</w:t>
                      </w:r>
                    </w:p>
                    <w:p>
                      <w:pPr>
                        <w:spacing w:after="0" w:line="240" w:lineRule="auto"/>
                        <w:rPr>
                          <w:sz w:val="22"/>
                          <w:szCs w:val="18"/>
                        </w:rPr>
                      </w:pPr>
                    </w:p>
                    <w:p>
                      <w:pPr>
                        <w:spacing w:after="0" w:line="240" w:lineRule="auto"/>
                        <w:rPr>
                          <w:rFonts w:ascii="Times" w:hAnsi="Times" w:eastAsia="游ゴシック" w:cs="Times"/>
                          <w:b/>
                          <w:bCs/>
                          <w:sz w:val="22"/>
                          <w:szCs w:val="22"/>
                          <w:lang w:eastAsia="zh-CN"/>
                        </w:rPr>
                      </w:pPr>
                      <w:r>
                        <w:rPr>
                          <w:rFonts w:ascii="Times" w:hAnsi="Times" w:eastAsia="游ゴシック" w:cs="Times"/>
                          <w:b/>
                          <w:bCs/>
                          <w:sz w:val="22"/>
                          <w:szCs w:val="22"/>
                          <w:highlight w:val="green"/>
                          <w:lang w:eastAsia="zh-CN"/>
                        </w:rPr>
                        <w:t>Agreement</w:t>
                      </w:r>
                    </w:p>
                    <w:p>
                      <w:pPr>
                        <w:spacing w:after="0" w:line="240" w:lineRule="auto"/>
                        <w:rPr>
                          <w:rFonts w:ascii="Times" w:hAnsi="Times" w:eastAsia="游ゴシック"/>
                          <w:sz w:val="22"/>
                          <w:szCs w:val="22"/>
                          <w:lang w:eastAsia="zh-CN"/>
                        </w:rPr>
                      </w:pPr>
                      <w:r>
                        <w:rPr>
                          <w:rFonts w:ascii="Times" w:hAnsi="Times" w:eastAsia="游ゴシック" w:cs="Times"/>
                          <w:sz w:val="22"/>
                          <w:szCs w:val="22"/>
                          <w:lang w:eastAsia="en-US"/>
                        </w:rPr>
                        <w:t xml:space="preserve">For NR-NTN coverage enhancement in Rel-18, link budget of parameter set-1 for LEO-1200 operating at LOS is </w:t>
                      </w:r>
                      <w:r>
                        <w:rPr>
                          <w:rFonts w:ascii="Times" w:hAnsi="Times" w:eastAsia="游ゴシック"/>
                          <w:sz w:val="22"/>
                          <w:szCs w:val="22"/>
                          <w:lang w:eastAsia="zh-CN"/>
                        </w:rPr>
                        <w:t>considered as the target to evaluate whether each channel/signal with the existing specification needs to be enhanced or not. The targeted performances are used to evaluate the following services:</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 xml:space="preserve">VoIP using AMR 4.75 kbps. </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 xml:space="preserve">Low data rate of 3 kbps. </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Potential enhancements for deployments with parameter set-1 can also apply for deployments for parameter set-2</w:t>
                      </w:r>
                    </w:p>
                    <w:p>
                      <w:pPr>
                        <w:snapToGrid w:val="0"/>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PUCCH format 1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Five sources observed that the existing specification can meet the performance requirement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Conclusion</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enhancement is unnecessary for PUCCH format 1 with </w:t>
                      </w:r>
                      <w:r>
                        <w:rPr>
                          <w:rFonts w:ascii="Times" w:hAnsi="Times" w:eastAsia="游ゴシック" w:cs="Times"/>
                          <w:sz w:val="22"/>
                          <w:szCs w:val="22"/>
                          <w:lang w:eastAsia="en-US"/>
                        </w:rPr>
                        <w:t>parameter set-1 for LEO-1200 operating at LOS, assuming -5dBi UE antenna gain</w:t>
                      </w:r>
                      <w:r>
                        <w:rPr>
                          <w:rFonts w:ascii="Times" w:hAnsi="Times" w:eastAsia="Batang"/>
                          <w:sz w:val="22"/>
                          <w:szCs w:val="18"/>
                          <w:lang w:val="en-US" w:eastAsia="en-US"/>
                        </w:rPr>
                        <w: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PUCCH format 3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Six sources observed that the existing specification can meet the performance requirement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One source observed that the existing specification cannot meet the performance requirement with at least 0.6 dB gap</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val="en-US" w:eastAsia="en-US"/>
                        </w:rPr>
                      </w:pPr>
                      <w:r>
                        <w:rPr>
                          <w:rFonts w:ascii="Times" w:hAnsi="Times" w:eastAsia="Batang"/>
                          <w:b/>
                          <w:sz w:val="22"/>
                          <w:szCs w:val="18"/>
                          <w:lang w:val="en-US" w:eastAsia="en-US"/>
                        </w:rPr>
                        <w:t>Conclusion</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enhancement is unnecessary for PUCCH format 3 with </w:t>
                      </w:r>
                      <w:r>
                        <w:rPr>
                          <w:rFonts w:ascii="Times" w:hAnsi="Times" w:eastAsia="游ゴシック" w:cs="Times"/>
                          <w:sz w:val="22"/>
                          <w:szCs w:val="22"/>
                          <w:lang w:eastAsia="en-US"/>
                        </w:rPr>
                        <w:t>parameter set-1 for LEO-1200 operating at LOS, assuming -5dBi UE antenna gain</w:t>
                      </w:r>
                      <w:r>
                        <w:rPr>
                          <w:rFonts w:ascii="Times" w:hAnsi="Times" w:eastAsia="Batang"/>
                          <w:sz w:val="22"/>
                          <w:szCs w:val="18"/>
                          <w:lang w:val="en-US" w:eastAsia="en-US"/>
                        </w:rPr>
                        <w: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PUCCH for Msg4 HARQ-ACK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One source observed that the existing specification can meet the performance requirement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Three sources observed that the existing specification cannot meet the performance requirement with a gap of 1.8 to 6 dB.</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val="en-US" w:eastAsia="en-US"/>
                        </w:rPr>
                      </w:pPr>
                      <w:r>
                        <w:rPr>
                          <w:rFonts w:ascii="Times" w:hAnsi="Times" w:eastAsia="Batang"/>
                          <w:b/>
                          <w:sz w:val="22"/>
                          <w:szCs w:val="18"/>
                          <w:lang w:val="en-US" w:eastAsia="en-US"/>
                        </w:rPr>
                        <w:t>Conclusion</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PUCCH for Msg4 HARQ-ACK should be enhanced to meet the coverage requirements for </w:t>
                      </w:r>
                      <w:r>
                        <w:rPr>
                          <w:rFonts w:ascii="Times" w:hAnsi="Times" w:eastAsia="游ゴシック" w:cs="Times"/>
                          <w:sz w:val="22"/>
                          <w:szCs w:val="22"/>
                          <w:lang w:eastAsia="en-US"/>
                        </w:rPr>
                        <w:t>parameter set-1 for LEO-1200 operating at LOS, assuming -5dBi UE antenna gain</w:t>
                      </w:r>
                      <w:r>
                        <w:rPr>
                          <w:rFonts w:ascii="Times" w:hAnsi="Times" w:eastAsia="Batang"/>
                          <w:sz w:val="22"/>
                          <w:szCs w:val="18"/>
                          <w:lang w:val="en-US" w:eastAsia="en-US"/>
                        </w:rPr>
                        <w: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PUSCH for low data rate of 3 kbps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Eight sources observed that the existing specification can meet the performance requirement</w:t>
                      </w:r>
                    </w:p>
                    <w:p>
                      <w:pPr>
                        <w:spacing w:after="0" w:line="240" w:lineRule="auto"/>
                        <w:rPr>
                          <w:rFonts w:ascii="Times" w:hAnsi="Times" w:eastAsia="Batang"/>
                          <w:sz w:val="22"/>
                          <w:szCs w:val="18"/>
                          <w:lang w:val="en-US" w:eastAsia="en-US"/>
                        </w:rPr>
                      </w:pPr>
                    </w:p>
                    <w:p>
                      <w:pPr>
                        <w:spacing w:after="0" w:line="240" w:lineRule="auto"/>
                        <w:rPr>
                          <w:rFonts w:ascii="Times" w:hAnsi="Times" w:eastAsia="Batang"/>
                          <w:b/>
                          <w:sz w:val="22"/>
                          <w:szCs w:val="18"/>
                          <w:lang w:val="en-US" w:eastAsia="en-US"/>
                        </w:rPr>
                      </w:pPr>
                      <w:r>
                        <w:rPr>
                          <w:rFonts w:ascii="Times" w:hAnsi="Times" w:eastAsia="Batang"/>
                          <w:b/>
                          <w:sz w:val="22"/>
                          <w:szCs w:val="18"/>
                          <w:lang w:val="en-US" w:eastAsia="en-US"/>
                        </w:rPr>
                        <w:t>Conclusion</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enhancement is unnecessary for PUSCH for low data rate of 3 kbps with </w:t>
                      </w:r>
                      <w:r>
                        <w:rPr>
                          <w:rFonts w:ascii="Times" w:hAnsi="Times" w:eastAsia="游ゴシック" w:cs="Times"/>
                          <w:sz w:val="22"/>
                          <w:szCs w:val="22"/>
                          <w:lang w:eastAsia="en-US"/>
                        </w:rPr>
                        <w:t>parameter set-1 for LEO-1200 operating at LOS, assuming -5dBi UE antenna gain</w:t>
                      </w:r>
                      <w:r>
                        <w:rPr>
                          <w:rFonts w:ascii="Times" w:hAnsi="Times" w:eastAsia="Batang"/>
                          <w:sz w:val="22"/>
                          <w:szCs w:val="18"/>
                          <w:lang w:val="en-US" w:eastAsia="en-US"/>
                        </w:rPr>
                        <w:t>.</w:t>
                      </w:r>
                    </w:p>
                    <w:p>
                      <w:pPr>
                        <w:spacing w:after="0" w:line="240" w:lineRule="auto"/>
                        <w:rPr>
                          <w:sz w:val="22"/>
                          <w:szCs w:val="18"/>
                          <w:lang w:val="en-US"/>
                        </w:rPr>
                      </w:pPr>
                    </w:p>
                    <w:p>
                      <w:pPr>
                        <w:spacing w:after="0" w:line="240" w:lineRule="auto"/>
                        <w:rPr>
                          <w:sz w:val="22"/>
                          <w:szCs w:val="18"/>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For PRACH format 0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One source observed that the existing specification can meet the performance requirement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Eight sources observed that the existing specification cannot meet the performance requirement with a gap of 0.3 to 5.3 dB</w:t>
                      </w:r>
                    </w:p>
                    <w:p>
                      <w:pPr>
                        <w:snapToGrid w:val="0"/>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For PRACH format 2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Ten sources observed that the existing specification can meet the performance requirement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Two sources observed that the existing specification cannot meet the performance requirement with a gap of 1.9 to 8.8 dB</w:t>
                      </w:r>
                    </w:p>
                    <w:p>
                      <w:pPr>
                        <w:snapToGrid w:val="0"/>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For PRACH format B4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Ten sources observed that the existing specification cannot meet the performance requirement with a gap of 1.2 to 11.9 dB</w:t>
                      </w:r>
                    </w:p>
                    <w:p>
                      <w:pPr>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Note: for the observations above, some sources used 1 Rx antenna and some sources used 2 Rx antennas at the satellite.</w:t>
                      </w:r>
                    </w:p>
                    <w:p>
                      <w:pPr>
                        <w:spacing w:after="0" w:line="240" w:lineRule="auto"/>
                        <w:rPr>
                          <w:rFonts w:ascii="Times" w:hAnsi="Times" w:eastAsia="Batang"/>
                          <w:sz w:val="20"/>
                          <w:lang w:eastAsia="zh-CN"/>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For PUSCH for VoIP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Six sources observed that the existing specification can meet the performance requirement with a margin of 0 to 1.7 dB</w:t>
                      </w:r>
                    </w:p>
                    <w:p>
                      <w:pPr>
                        <w:numPr>
                          <w:ilvl w:val="1"/>
                          <w:numId w:val="3"/>
                        </w:numPr>
                        <w:snapToGrid w:val="0"/>
                        <w:spacing w:after="0" w:line="240" w:lineRule="auto"/>
                        <w:rPr>
                          <w:rFonts w:ascii="Times" w:hAnsi="Times" w:eastAsia="Batang"/>
                          <w:sz w:val="22"/>
                          <w:szCs w:val="18"/>
                          <w:lang w:val="en-US" w:eastAsia="en-US"/>
                        </w:rPr>
                      </w:pPr>
                      <w:r>
                        <w:rPr>
                          <w:rFonts w:hint="eastAsia" w:ascii="Times" w:hAnsi="Times" w:eastAsia="Times New Roman"/>
                          <w:sz w:val="22"/>
                          <w:szCs w:val="18"/>
                          <w:lang w:val="en-US" w:eastAsia="en-US"/>
                        </w:rPr>
                        <w:t>O</w:t>
                      </w:r>
                      <w:r>
                        <w:rPr>
                          <w:rFonts w:ascii="Times" w:hAnsi="Times" w:eastAsia="Times New Roman"/>
                          <w:sz w:val="22"/>
                          <w:szCs w:val="18"/>
                          <w:lang w:val="en-US" w:eastAsia="en-US"/>
                        </w:rPr>
                        <w:t>ne company simulated by using 20 repetitions without DMRS bundling</w:t>
                      </w:r>
                    </w:p>
                    <w:p>
                      <w:pPr>
                        <w:numPr>
                          <w:ilvl w:val="1"/>
                          <w:numId w:val="3"/>
                        </w:numPr>
                        <w:snapToGrid w:val="0"/>
                        <w:spacing w:after="0" w:line="240" w:lineRule="auto"/>
                        <w:rPr>
                          <w:rFonts w:ascii="Times" w:hAnsi="Times" w:eastAsia="Batang"/>
                          <w:sz w:val="22"/>
                          <w:szCs w:val="18"/>
                          <w:lang w:val="en-US" w:eastAsia="en-US"/>
                        </w:rPr>
                      </w:pPr>
                      <w:r>
                        <w:rPr>
                          <w:rFonts w:ascii="Times" w:hAnsi="Times" w:eastAsia="Times New Roman"/>
                          <w:sz w:val="22"/>
                          <w:szCs w:val="18"/>
                          <w:lang w:val="en-US" w:eastAsia="en-US"/>
                        </w:rPr>
                        <w:t>Four companies simulated by using 20 repetitions with DMRS bundling</w:t>
                      </w:r>
                    </w:p>
                    <w:p>
                      <w:pPr>
                        <w:numPr>
                          <w:ilvl w:val="1"/>
                          <w:numId w:val="3"/>
                        </w:numPr>
                        <w:snapToGrid w:val="0"/>
                        <w:spacing w:after="0" w:line="240" w:lineRule="auto"/>
                        <w:rPr>
                          <w:rFonts w:ascii="Times" w:hAnsi="Times" w:eastAsia="Batang"/>
                          <w:sz w:val="22"/>
                          <w:szCs w:val="18"/>
                          <w:lang w:val="en-US" w:eastAsia="en-US"/>
                        </w:rPr>
                      </w:pPr>
                      <w:r>
                        <w:rPr>
                          <w:rFonts w:hint="eastAsia" w:ascii="Times" w:hAnsi="Times" w:eastAsia="Times New Roman"/>
                          <w:sz w:val="22"/>
                          <w:szCs w:val="18"/>
                          <w:lang w:val="en-US" w:eastAsia="en-US"/>
                        </w:rPr>
                        <w:t>O</w:t>
                      </w:r>
                      <w:r>
                        <w:rPr>
                          <w:rFonts w:ascii="Times" w:hAnsi="Times" w:eastAsia="Times New Roman"/>
                          <w:sz w:val="22"/>
                          <w:szCs w:val="18"/>
                          <w:lang w:val="en-US" w:eastAsia="en-US"/>
                        </w:rPr>
                        <w:t>ne company simulated by using 32 repetitions with DMRS bundling</w:t>
                      </w:r>
                    </w:p>
                    <w:p>
                      <w:pPr>
                        <w:numPr>
                          <w:ilvl w:val="2"/>
                          <w:numId w:val="3"/>
                        </w:numPr>
                        <w:snapToGrid w:val="0"/>
                        <w:spacing w:after="0" w:line="240" w:lineRule="auto"/>
                        <w:rPr>
                          <w:rFonts w:ascii="Times" w:hAnsi="Times" w:eastAsia="Batang"/>
                          <w:sz w:val="22"/>
                          <w:szCs w:val="18"/>
                          <w:lang w:val="en-US" w:eastAsia="en-US"/>
                        </w:rPr>
                      </w:pPr>
                      <w:r>
                        <w:rPr>
                          <w:rFonts w:ascii="Times" w:hAnsi="Times" w:eastAsia="Batang"/>
                          <w:sz w:val="22"/>
                          <w:szCs w:val="18"/>
                          <w:lang w:val="en-US" w:eastAsia="en-US"/>
                        </w:rPr>
                        <w:t xml:space="preserve">Note: this is the only result using </w:t>
                      </w:r>
                      <w:r>
                        <w:rPr>
                          <w:rFonts w:ascii="Times" w:hAnsi="Times" w:eastAsia="Times New Roman"/>
                          <w:sz w:val="22"/>
                          <w:szCs w:val="18"/>
                          <w:lang w:val="en-US" w:eastAsia="en-US"/>
                        </w:rPr>
                        <w:t>frame combining by application layer</w:t>
                      </w:r>
                    </w:p>
                    <w:p>
                      <w:pPr>
                        <w:numPr>
                          <w:ilvl w:val="0"/>
                          <w:numId w:val="3"/>
                        </w:numPr>
                        <w:snapToGrid w:val="0"/>
                        <w:spacing w:after="0" w:line="240" w:lineRule="auto"/>
                        <w:ind w:left="720"/>
                        <w:rPr>
                          <w:rFonts w:ascii="Times" w:hAnsi="Times" w:eastAsia="Batang"/>
                          <w:sz w:val="22"/>
                          <w:szCs w:val="18"/>
                          <w:lang w:val="en-US" w:eastAsia="en-US"/>
                        </w:rPr>
                      </w:pPr>
                      <w:r>
                        <w:rPr>
                          <w:rFonts w:ascii="Times" w:hAnsi="Times" w:eastAsia="Batang"/>
                          <w:sz w:val="22"/>
                          <w:szCs w:val="18"/>
                          <w:lang w:val="en-US" w:eastAsia="en-US"/>
                        </w:rPr>
                        <w:t>Nine sources observed that the existing specification cannot meet the performance requirement with a gap of 0.3 to 8.6 dB</w:t>
                      </w:r>
                    </w:p>
                    <w:p>
                      <w:pPr>
                        <w:numPr>
                          <w:ilvl w:val="1"/>
                          <w:numId w:val="3"/>
                        </w:numPr>
                        <w:snapToGrid w:val="0"/>
                        <w:spacing w:after="0" w:line="240" w:lineRule="auto"/>
                        <w:rPr>
                          <w:rFonts w:ascii="Times" w:hAnsi="Times" w:eastAsia="Batang"/>
                          <w:sz w:val="22"/>
                          <w:szCs w:val="18"/>
                          <w:lang w:val="en-US" w:eastAsia="en-US"/>
                        </w:rPr>
                      </w:pPr>
                      <w:r>
                        <w:rPr>
                          <w:rFonts w:ascii="Times" w:hAnsi="Times" w:eastAsia="Times New Roman"/>
                          <w:sz w:val="22"/>
                          <w:szCs w:val="18"/>
                          <w:lang w:val="en-US" w:eastAsia="en-US"/>
                        </w:rPr>
                        <w:t>Eight companies simulated by using 20 repetitions without DMRS bundling</w:t>
                      </w:r>
                    </w:p>
                    <w:p>
                      <w:pPr>
                        <w:numPr>
                          <w:ilvl w:val="1"/>
                          <w:numId w:val="3"/>
                        </w:numPr>
                        <w:snapToGrid w:val="0"/>
                        <w:spacing w:after="0" w:line="240" w:lineRule="auto"/>
                        <w:rPr>
                          <w:rFonts w:ascii="Times" w:hAnsi="Times" w:eastAsia="Batang"/>
                          <w:sz w:val="22"/>
                          <w:szCs w:val="18"/>
                          <w:lang w:val="en-US" w:eastAsia="en-US"/>
                        </w:rPr>
                      </w:pPr>
                      <w:r>
                        <w:rPr>
                          <w:rFonts w:hint="eastAsia" w:ascii="Times" w:hAnsi="Times" w:eastAsia="Times New Roman"/>
                          <w:sz w:val="22"/>
                          <w:szCs w:val="18"/>
                          <w:lang w:val="en-US" w:eastAsia="en-US"/>
                        </w:rPr>
                        <w:t>S</w:t>
                      </w:r>
                      <w:r>
                        <w:rPr>
                          <w:rFonts w:ascii="Times" w:hAnsi="Times" w:eastAsia="Times New Roman"/>
                          <w:sz w:val="22"/>
                          <w:szCs w:val="18"/>
                          <w:lang w:val="en-US" w:eastAsia="en-US"/>
                        </w:rPr>
                        <w:t>even companies simulated without frequency hopping</w:t>
                      </w:r>
                    </w:p>
                    <w:p>
                      <w:pPr>
                        <w:numPr>
                          <w:ilvl w:val="1"/>
                          <w:numId w:val="3"/>
                        </w:numPr>
                        <w:snapToGrid w:val="0"/>
                        <w:spacing w:after="0" w:line="240" w:lineRule="auto"/>
                        <w:rPr>
                          <w:rFonts w:ascii="Times" w:hAnsi="Times" w:eastAsia="Batang"/>
                          <w:sz w:val="22"/>
                          <w:szCs w:val="18"/>
                          <w:lang w:val="en-US" w:eastAsia="en-US"/>
                        </w:rPr>
                      </w:pPr>
                      <w:r>
                        <w:rPr>
                          <w:rFonts w:hint="eastAsia" w:ascii="Times" w:hAnsi="Times" w:eastAsia="Times New Roman"/>
                          <w:sz w:val="22"/>
                          <w:szCs w:val="18"/>
                          <w:lang w:val="en-US" w:eastAsia="en-US"/>
                        </w:rPr>
                        <w:t>O</w:t>
                      </w:r>
                      <w:r>
                        <w:rPr>
                          <w:rFonts w:ascii="Times" w:hAnsi="Times" w:eastAsia="Times New Roman"/>
                          <w:sz w:val="22"/>
                          <w:szCs w:val="18"/>
                          <w:lang w:val="en-US" w:eastAsia="en-US"/>
                        </w:rPr>
                        <w:t>ne company simulated by using 16 repetitions with DMRS bundling</w:t>
                      </w:r>
                    </w:p>
                    <w:p>
                      <w:pPr>
                        <w:spacing w:after="0" w:line="240" w:lineRule="auto"/>
                        <w:rPr>
                          <w:rFonts w:ascii="Times" w:hAnsi="Times" w:eastAsia="Batang"/>
                          <w:sz w:val="22"/>
                          <w:szCs w:val="18"/>
                          <w:lang w:val="en-US" w:eastAsia="en-US"/>
                        </w:rPr>
                      </w:pPr>
                      <w:r>
                        <w:rPr>
                          <w:rFonts w:ascii="Times" w:hAnsi="Times" w:eastAsia="Batang"/>
                          <w:sz w:val="22"/>
                          <w:szCs w:val="18"/>
                          <w:lang w:val="en-US" w:eastAsia="en-US"/>
                        </w:rPr>
                        <w:t>Note: for the observations above, some sources used 1 Rx antenna and some sources used 2 Rx antennas at the satellite.</w:t>
                      </w:r>
                    </w:p>
                    <w:p>
                      <w:pPr>
                        <w:spacing w:after="0" w:line="240" w:lineRule="auto"/>
                        <w:rPr>
                          <w:rFonts w:ascii="Times" w:hAnsi="Times" w:eastAsia="Batang"/>
                          <w:sz w:val="20"/>
                          <w:lang w:eastAsia="zh-CN"/>
                        </w:rPr>
                      </w:pPr>
                    </w:p>
                    <w:p>
                      <w:pPr>
                        <w:spacing w:before="120" w:beforeLines="50" w:after="120" w:afterLines="50" w:line="240" w:lineRule="auto"/>
                        <w:rPr>
                          <w:rFonts w:ascii="Times" w:hAnsi="Times" w:eastAsia="Batang"/>
                          <w:b/>
                          <w:sz w:val="22"/>
                          <w:szCs w:val="18"/>
                          <w:lang w:val="en-US" w:eastAsia="en-US"/>
                        </w:rPr>
                      </w:pPr>
                      <w:r>
                        <w:rPr>
                          <w:rFonts w:ascii="Times" w:hAnsi="Times" w:eastAsia="Batang"/>
                          <w:b/>
                          <w:sz w:val="22"/>
                          <w:szCs w:val="18"/>
                          <w:lang w:val="en-US" w:eastAsia="en-US"/>
                        </w:rPr>
                        <w:t>Observation</w:t>
                      </w:r>
                    </w:p>
                    <w:p>
                      <w:pPr>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RAN1 concluded that enhancement for PUSCH for VoIP may be needed to meet the coverage requirements for </w:t>
                      </w:r>
                      <w:r>
                        <w:rPr>
                          <w:rFonts w:ascii="Times" w:hAnsi="Times" w:eastAsia="游ゴシック" w:cs="Times"/>
                          <w:sz w:val="22"/>
                          <w:szCs w:val="22"/>
                          <w:lang w:eastAsia="en-US"/>
                        </w:rPr>
                        <w:t>parameter set-1 for LEO-1200 operating at LOS, assuming -5dBi UE antenna gain, when DMRS bundling is not applied.</w:t>
                      </w:r>
                    </w:p>
                    <w:p>
                      <w:pPr>
                        <w:spacing w:after="0" w:line="240" w:lineRule="auto"/>
                        <w:rPr>
                          <w:rFonts w:ascii="Times" w:hAnsi="Times" w:eastAsia="Batang"/>
                          <w:sz w:val="20"/>
                          <w:lang w:eastAsia="zh-CN"/>
                        </w:rPr>
                      </w:pPr>
                    </w:p>
                    <w:p>
                      <w:pPr>
                        <w:spacing w:after="0" w:line="240" w:lineRule="auto"/>
                        <w:rPr>
                          <w:rFonts w:ascii="Times" w:hAnsi="Times" w:eastAsia="Batang"/>
                          <w:b/>
                          <w:sz w:val="22"/>
                          <w:szCs w:val="18"/>
                          <w:lang w:eastAsia="zh-CN"/>
                        </w:rPr>
                      </w:pPr>
                      <w:r>
                        <w:rPr>
                          <w:rFonts w:ascii="Times" w:hAnsi="Times" w:eastAsia="Batang"/>
                          <w:b/>
                          <w:sz w:val="22"/>
                          <w:szCs w:val="18"/>
                          <w:lang w:eastAsia="zh-CN"/>
                        </w:rPr>
                        <w:t>Observation</w:t>
                      </w:r>
                    </w:p>
                    <w:p>
                      <w:pPr>
                        <w:snapToGrid w:val="0"/>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 xml:space="preserve">For Msg3 PUSCH with </w:t>
                      </w:r>
                      <w:r>
                        <w:rPr>
                          <w:rFonts w:ascii="Times" w:hAnsi="Times" w:eastAsia="游ゴシック" w:cs="Times"/>
                          <w:sz w:val="22"/>
                          <w:szCs w:val="22"/>
                          <w:lang w:eastAsia="en-US"/>
                        </w:rPr>
                        <w:t>parameter set-1 for LEO-1200 operating at LOS</w:t>
                      </w:r>
                      <w:r>
                        <w:rPr>
                          <w:rFonts w:ascii="Times" w:hAnsi="Times" w:eastAsia="Batang"/>
                          <w:sz w:val="22"/>
                          <w:szCs w:val="18"/>
                          <w:lang w:val="en-US" w:eastAsia="en-US"/>
                        </w:rPr>
                        <w: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Eight sources observed that the existing specification can meet the performance requirement</w:t>
                      </w:r>
                    </w:p>
                    <w:p>
                      <w:pPr>
                        <w:numPr>
                          <w:ilvl w:val="0"/>
                          <w:numId w:val="3"/>
                        </w:numPr>
                        <w:snapToGrid w:val="0"/>
                        <w:spacing w:before="120" w:beforeLines="50" w:after="120" w:afterLines="50" w:line="240" w:lineRule="auto"/>
                        <w:ind w:left="720"/>
                        <w:rPr>
                          <w:rFonts w:ascii="Times" w:hAnsi="Times" w:eastAsia="Batang"/>
                          <w:sz w:val="22"/>
                          <w:szCs w:val="18"/>
                          <w:lang w:val="en-US" w:eastAsia="en-US"/>
                        </w:rPr>
                      </w:pPr>
                      <w:r>
                        <w:rPr>
                          <w:rFonts w:ascii="Times" w:hAnsi="Times" w:eastAsia="Batang"/>
                          <w:sz w:val="22"/>
                          <w:szCs w:val="18"/>
                          <w:lang w:val="en-US" w:eastAsia="en-US"/>
                        </w:rPr>
                        <w:t>One source observed that the existing specification cannot meet the performance requirement with a gap of 1.5 dB.</w:t>
                      </w:r>
                    </w:p>
                    <w:p>
                      <w:pPr>
                        <w:spacing w:after="0" w:line="240" w:lineRule="auto"/>
                        <w:rPr>
                          <w:rFonts w:ascii="Times" w:hAnsi="Times" w:eastAsia="Batang"/>
                          <w:sz w:val="20"/>
                          <w:lang w:eastAsia="zh-CN"/>
                        </w:rPr>
                      </w:pPr>
                    </w:p>
                    <w:p>
                      <w:pPr>
                        <w:spacing w:after="0" w:line="240" w:lineRule="auto"/>
                        <w:rPr>
                          <w:rFonts w:ascii="Times" w:hAnsi="Times" w:eastAsia="Batang"/>
                          <w:b/>
                          <w:sz w:val="22"/>
                          <w:szCs w:val="18"/>
                          <w:lang w:eastAsia="en-US"/>
                        </w:rPr>
                      </w:pPr>
                      <w:r>
                        <w:rPr>
                          <w:rFonts w:ascii="Times" w:hAnsi="Times" w:eastAsia="Batang"/>
                          <w:b/>
                          <w:sz w:val="22"/>
                          <w:szCs w:val="18"/>
                          <w:lang w:eastAsia="en-US"/>
                        </w:rPr>
                        <w:t>Conclusion</w:t>
                      </w:r>
                    </w:p>
                    <w:p>
                      <w:pPr>
                        <w:spacing w:before="120" w:beforeLines="50" w:after="120" w:afterLines="50" w:line="240" w:lineRule="auto"/>
                        <w:rPr>
                          <w:rFonts w:ascii="Times" w:hAnsi="Times" w:eastAsia="Batang"/>
                          <w:sz w:val="22"/>
                          <w:szCs w:val="18"/>
                          <w:lang w:val="en-US" w:eastAsia="en-US"/>
                        </w:rPr>
                      </w:pPr>
                      <w:r>
                        <w:rPr>
                          <w:rFonts w:ascii="Times" w:hAnsi="Times" w:eastAsia="Batang"/>
                          <w:sz w:val="22"/>
                          <w:szCs w:val="18"/>
                          <w:lang w:val="en-US" w:eastAsia="en-US"/>
                        </w:rPr>
                        <w:t>RAN1 concluded that enhancement is unnecessary for Msg3 PUSCH with parameter set-1 for LEO-1200 operating at LOS, assuming -5dBi UE antenna gain.</w:t>
                      </w:r>
                    </w:p>
                    <w:p>
                      <w:pPr>
                        <w:spacing w:after="0" w:line="240" w:lineRule="auto"/>
                        <w:rPr>
                          <w:sz w:val="22"/>
                          <w:szCs w:val="18"/>
                          <w:lang w:val="en-US"/>
                        </w:rPr>
                      </w:pPr>
                    </w:p>
                    <w:p/>
                  </w:txbxContent>
                </v:textbox>
                <w10:wrap type="topAndBottom"/>
              </v:shape>
            </w:pict>
          </mc:Fallback>
        </mc:AlternateContent>
      </w:r>
    </w:p>
    <w:p>
      <w:r>
        <w:rPr>
          <w:sz w:val="22"/>
        </w:rPr>
        <mc:AlternateContent>
          <mc:Choice Requires="wps">
            <w:drawing>
              <wp:anchor distT="0" distB="0" distL="114300" distR="114300" simplePos="0" relativeHeight="251661312" behindDoc="0" locked="0" layoutInCell="1" allowOverlap="1">
                <wp:simplePos x="0" y="0"/>
                <wp:positionH relativeFrom="column">
                  <wp:posOffset>-184785</wp:posOffset>
                </wp:positionH>
                <wp:positionV relativeFrom="paragraph">
                  <wp:posOffset>14605</wp:posOffset>
                </wp:positionV>
                <wp:extent cx="6290310" cy="8745855"/>
                <wp:effectExtent l="4445" t="4445" r="14605" b="12700"/>
                <wp:wrapTopAndBottom/>
                <wp:docPr id="3" name="文本框 3"/>
                <wp:cNvGraphicFramePr/>
                <a:graphic xmlns:a="http://schemas.openxmlformats.org/drawingml/2006/main">
                  <a:graphicData uri="http://schemas.microsoft.com/office/word/2010/wordprocessingShape">
                    <wps:wsp>
                      <wps:cNvSpPr txBox="1"/>
                      <wps:spPr>
                        <a:xfrm>
                          <a:off x="0" y="0"/>
                          <a:ext cx="6290310" cy="87458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linkedTxbx id="2" seq="1"/>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5pt;margin-top:1.15pt;height:688.65pt;width:495.3pt;mso-wrap-distance-bottom:0pt;mso-wrap-distance-top:0pt;z-index:251661312;mso-width-relative:page;mso-height-relative:page;" fillcolor="#FFFFFF [3201]" filled="t" stroked="t" coordsize="21600,21600" o:gfxdata="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WAAAAZHJzL1BLAQIUABQAAAAIAIdO4kBWYR361wAAAAoBAAAPAAAAAAAA&#10;AAEAIAAAADgAAABkcnMvZG93bnJldi54bWxQSwECFAAUAAAACACHTuJALL5foDYCAABfBAAADgAA&#10;AAAAAAABACAAAAA8AQAAZHJzL2Uyb0RvYy54bWxQSwUGAAAAAAYABgBZAQAA5AUAAAAA&#10;">
                <v:fill on="t" focussize="0,0"/>
                <v:stroke weight="0.5pt" color="#000000 [3204]" joinstyle="round"/>
                <v:imagedata o:title=""/>
                <o:lock v:ext="edit" aspectratio="f"/>
                <v:textbox>
                  <w:txbxContent/>
                </v:textbox>
                <w10:wrap type="topAndBottom"/>
              </v:shape>
            </w:pict>
          </mc:Fallback>
        </mc:AlternateContent>
      </w:r>
    </w:p>
    <w:p>
      <w:r>
        <w:rPr>
          <w:sz w:val="22"/>
        </w:rPr>
        <mc:AlternateContent>
          <mc:Choice Requires="wps">
            <w:drawing>
              <wp:anchor distT="0" distB="0" distL="114300" distR="114300" simplePos="0" relativeHeight="251662336" behindDoc="0" locked="0" layoutInCell="1" allowOverlap="1">
                <wp:simplePos x="0" y="0"/>
                <wp:positionH relativeFrom="column">
                  <wp:posOffset>-104140</wp:posOffset>
                </wp:positionH>
                <wp:positionV relativeFrom="paragraph">
                  <wp:posOffset>35560</wp:posOffset>
                </wp:positionV>
                <wp:extent cx="6163310" cy="4098290"/>
                <wp:effectExtent l="4445" t="4445" r="19685" b="12065"/>
                <wp:wrapTopAndBottom/>
                <wp:docPr id="5" name="文本框 5"/>
                <wp:cNvGraphicFramePr/>
                <a:graphic xmlns:a="http://schemas.openxmlformats.org/drawingml/2006/main">
                  <a:graphicData uri="http://schemas.microsoft.com/office/word/2010/wordprocessingShape">
                    <wps:wsp>
                      <wps:cNvSpPr txBox="1"/>
                      <wps:spPr>
                        <a:xfrm>
                          <a:off x="0" y="0"/>
                          <a:ext cx="6163310" cy="40982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linkedTxbx id="2" seq="2"/>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pt;margin-top:2.8pt;height:322.7pt;width:485.3pt;mso-wrap-distance-bottom:0pt;mso-wrap-distance-top:0pt;z-index:251662336;mso-width-relative:page;mso-height-relative:page;" fillcolor="#FFFFFF [3201]" filled="t" stroked="t" coordsize="21600,21600" o:gfxdata="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WAAAAZHJzL1BLAQIUABQAAAAIAIdO4kBuZx9z1gAAAAkBAAAPAAAAAAAA&#10;AAEAIAAAADgAAABkcnMvZG93bnJldi54bWxQSwECFAAUAAAACACHTuJAML72RzcCAABfBAAADgAA&#10;AAAAAAABACAAAAA7AQAAZHJzL2Uyb0RvYy54bWxQSwUGAAAAAAYABgBZAQAA5AUAAAAA&#10;">
                <v:fill on="t" focussize="0,0"/>
                <v:stroke weight="0.5pt" color="#000000 [3204]" joinstyle="round"/>
                <v:imagedata o:title=""/>
                <o:lock v:ext="edit" aspectratio="f"/>
                <v:textbox>
                  <w:txbxContent/>
                </v:textbox>
                <w10:wrap type="topAndBottom"/>
              </v:shape>
            </w:pict>
          </mc:Fallback>
        </mc:AlternateContent>
      </w:r>
    </w:p>
    <w:p/>
    <w:p>
      <w:pPr>
        <w:widowControl w:val="0"/>
        <w:overflowPunct w:val="0"/>
        <w:autoSpaceDE w:val="0"/>
        <w:autoSpaceDN w:val="0"/>
        <w:adjustRightInd w:val="0"/>
        <w:spacing w:after="0"/>
        <w:textAlignment w:val="baseline"/>
        <w:rPr>
          <w:rFonts w:ascii="Times New Roman" w:hAnsi="Times New Roman" w:cs="Times New Roman" w:eastAsiaTheme="minorEastAsia"/>
          <w:sz w:val="22"/>
          <w:szCs w:val="22"/>
          <w:lang w:val="en-GB" w:eastAsia="en-US" w:bidi="ar-SA"/>
        </w:rPr>
      </w:pPr>
      <w:r>
        <w:rPr>
          <w:rFonts w:hint="eastAsia" w:cs="Times New Roman"/>
          <w:sz w:val="22"/>
          <w:szCs w:val="22"/>
          <w:lang w:val="en-US" w:eastAsia="zh-CN" w:bidi="ar-SA"/>
        </w:rPr>
        <w:t>Then, i</w:t>
      </w:r>
      <w:r>
        <w:rPr>
          <w:rFonts w:hint="eastAsia" w:ascii="Times New Roman" w:hAnsi="Times New Roman" w:cs="Times New Roman" w:eastAsiaTheme="minorEastAsia"/>
          <w:sz w:val="22"/>
          <w:szCs w:val="22"/>
          <w:lang w:val="en-US" w:eastAsia="zh-CN" w:bidi="ar-SA"/>
        </w:rPr>
        <w:t xml:space="preserve">n </w:t>
      </w:r>
      <w:r>
        <w:rPr>
          <w:rFonts w:ascii="Times New Roman" w:hAnsi="Times New Roman" w:cs="Times New Roman" w:eastAsiaTheme="minorEastAsia"/>
          <w:sz w:val="22"/>
          <w:szCs w:val="22"/>
          <w:lang w:val="en-GB" w:eastAsia="en-US" w:bidi="ar-SA"/>
        </w:rPr>
        <w:t>RAN#9</w:t>
      </w:r>
      <w:r>
        <w:rPr>
          <w:rFonts w:hint="eastAsia" w:cs="Times New Roman"/>
          <w:sz w:val="22"/>
          <w:szCs w:val="22"/>
          <w:lang w:val="en-US" w:eastAsia="zh-CN" w:bidi="ar-SA"/>
        </w:rPr>
        <w:t>7</w:t>
      </w:r>
      <w:r>
        <w:rPr>
          <w:rFonts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 xml:space="preserve"> the</w:t>
      </w:r>
      <w:r>
        <w:rPr>
          <w:rFonts w:ascii="Times New Roman" w:hAnsi="Times New Roman" w:cs="Times New Roman" w:eastAsiaTheme="minorEastAsia"/>
          <w:sz w:val="22"/>
          <w:szCs w:val="22"/>
          <w:lang w:val="en-GB" w:eastAsia="en-US" w:bidi="ar-SA"/>
        </w:rPr>
        <w:t xml:space="preserve"> </w:t>
      </w:r>
      <w:r>
        <w:rPr>
          <w:rFonts w:hint="eastAsia" w:ascii="Times New Roman" w:hAnsi="Times New Roman" w:cs="Times New Roman"/>
          <w:sz w:val="22"/>
          <w:szCs w:val="22"/>
          <w:lang w:val="en-US" w:eastAsia="zh-CN" w:bidi="ar-SA"/>
        </w:rPr>
        <w:t>work item</w:t>
      </w:r>
      <w:r>
        <w:rPr>
          <w:rFonts w:ascii="Times New Roman" w:hAnsi="Times New Roman" w:cs="Times New Roman" w:eastAsiaTheme="minorEastAsia"/>
          <w:sz w:val="22"/>
          <w:szCs w:val="22"/>
          <w:lang w:val="en-GB" w:eastAsia="en-US" w:bidi="ar-SA"/>
        </w:rPr>
        <w:t xml:space="preserve"> </w:t>
      </w:r>
      <w:r>
        <w:rPr>
          <w:rFonts w:hint="eastAsia" w:cs="Times New Roman"/>
          <w:sz w:val="22"/>
          <w:szCs w:val="22"/>
          <w:lang w:val="en-US" w:eastAsia="zh-CN" w:bidi="ar-SA"/>
        </w:rPr>
        <w:t xml:space="preserve">description </w:t>
      </w:r>
      <w:r>
        <w:rPr>
          <w:rFonts w:hint="eastAsia" w:ascii="Times New Roman" w:hAnsi="Times New Roman" w:cs="Times New Roman" w:eastAsiaTheme="minorEastAsia"/>
          <w:sz w:val="22"/>
          <w:szCs w:val="22"/>
          <w:lang w:val="en-US" w:eastAsia="zh-CN" w:bidi="ar-SA"/>
        </w:rPr>
        <w:t>o</w:t>
      </w:r>
      <w:r>
        <w:rPr>
          <w:rFonts w:hint="eastAsia" w:ascii="Times New Roman" w:hAnsi="Times New Roman" w:cs="Times New Roman"/>
          <w:sz w:val="22"/>
          <w:szCs w:val="22"/>
          <w:lang w:val="en-US" w:eastAsia="zh-CN" w:bidi="ar-SA"/>
        </w:rPr>
        <w:t>n</w:t>
      </w:r>
      <w:r>
        <w:rPr>
          <w:rFonts w:ascii="Times New Roman" w:hAnsi="Times New Roman" w:cs="Times New Roman" w:eastAsiaTheme="minorEastAsia"/>
          <w:sz w:val="22"/>
          <w:szCs w:val="22"/>
          <w:lang w:val="en-GB" w:eastAsia="en-US" w:bidi="ar-SA"/>
        </w:rPr>
        <w:t xml:space="preserve"> NR NTN</w:t>
      </w:r>
      <w:r>
        <w:rPr>
          <w:rFonts w:hint="eastAsia" w:cs="Times New Roman"/>
          <w:sz w:val="22"/>
          <w:szCs w:val="22"/>
          <w:lang w:val="en-US" w:eastAsia="zh-CN" w:bidi="ar-SA"/>
        </w:rPr>
        <w:t xml:space="preserve"> </w:t>
      </w:r>
      <w:r>
        <w:rPr>
          <w:rFonts w:ascii="Times New Roman" w:hAnsi="Times New Roman" w:cs="Times New Roman" w:eastAsiaTheme="minorEastAsia"/>
          <w:sz w:val="22"/>
          <w:szCs w:val="22"/>
          <w:lang w:val="en-GB" w:eastAsia="en-US" w:bidi="ar-SA"/>
        </w:rPr>
        <w:t xml:space="preserve">enhancements was </w:t>
      </w:r>
      <w:r>
        <w:rPr>
          <w:rFonts w:hint="eastAsia" w:cs="Times New Roman"/>
          <w:sz w:val="22"/>
          <w:szCs w:val="22"/>
          <w:lang w:val="en-US" w:eastAsia="zh-CN" w:bidi="ar-SA"/>
        </w:rPr>
        <w:t xml:space="preserve">updated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2</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 xml:space="preserve">. The following part shows part of the updated WID. Two detailed objectives for NTN are specified. One is on PUCCH enhancement for Msg4 HARQ-ACK and the other is on DMRS bundling for PUSCH for NTN. </w:t>
      </w:r>
    </w:p>
    <w:p>
      <w:pPr>
        <w:pStyle w:val="13"/>
        <w:ind w:left="110" w:hanging="110" w:hangingChars="50"/>
        <w:rPr>
          <w:rFonts w:ascii="Times New Roman" w:hAnsi="Times New Roman" w:cs="Times New Roman" w:eastAsiaTheme="minorEastAsia"/>
          <w:sz w:val="22"/>
          <w:szCs w:val="22"/>
          <w:lang w:val="en-GB" w:eastAsia="en-US" w:bidi="ar-SA"/>
        </w:rPr>
      </w:pPr>
    </w:p>
    <w:p>
      <w:pPr>
        <w:pStyle w:val="13"/>
        <w:ind w:left="110" w:hanging="110" w:hangingChars="50"/>
        <w:rPr>
          <w:rFonts w:ascii="Times New Roman" w:hAnsi="Times New Roman" w:cs="Times New Roman" w:eastAsiaTheme="minorEastAsia"/>
          <w:sz w:val="22"/>
          <w:szCs w:val="22"/>
          <w:lang w:val="en-GB" w:eastAsia="en-US" w:bidi="ar-SA"/>
        </w:rPr>
      </w:pPr>
      <w:r>
        <w:rPr>
          <w:sz w:val="22"/>
        </w:rPr>
        <mc:AlternateContent>
          <mc:Choice Requires="wps">
            <w:drawing>
              <wp:anchor distT="0" distB="0" distL="114300" distR="114300" simplePos="0" relativeHeight="251659264" behindDoc="0" locked="0" layoutInCell="1" allowOverlap="1">
                <wp:simplePos x="0" y="0"/>
                <wp:positionH relativeFrom="column">
                  <wp:posOffset>-54610</wp:posOffset>
                </wp:positionH>
                <wp:positionV relativeFrom="paragraph">
                  <wp:posOffset>43815</wp:posOffset>
                </wp:positionV>
                <wp:extent cx="6163310" cy="6946900"/>
                <wp:effectExtent l="4445" t="4445" r="19685" b="13335"/>
                <wp:wrapTopAndBottom/>
                <wp:docPr id="4" name="文本框 4"/>
                <wp:cNvGraphicFramePr/>
                <a:graphic xmlns:a="http://schemas.openxmlformats.org/drawingml/2006/main">
                  <a:graphicData uri="http://schemas.microsoft.com/office/word/2010/wordprocessingShape">
                    <wps:wsp>
                      <wps:cNvSpPr txBox="1"/>
                      <wps:spPr>
                        <a:xfrm>
                          <a:off x="0" y="0"/>
                          <a:ext cx="6163310" cy="69469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bCs/>
                              </w:rPr>
                            </w:pPr>
                            <w:r>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pPr>
                              <w:spacing w:after="0"/>
                              <w:rPr>
                                <w:bCs/>
                              </w:rPr>
                            </w:pPr>
                          </w:p>
                          <w:p>
                            <w:pPr>
                              <w:spacing w:after="0"/>
                              <w:rPr>
                                <w:bCs/>
                              </w:rPr>
                            </w:pPr>
                            <w:r>
                              <w:rPr>
                                <w:bCs/>
                              </w:rPr>
                              <w:t>The following sentence will be revisited in RAN#99 as part of the DL enhancements discussion:</w:t>
                            </w:r>
                          </w:p>
                          <w:p>
                            <w:pPr>
                              <w:spacing w:after="0"/>
                              <w:rPr>
                                <w:bCs/>
                              </w:rPr>
                            </w:pPr>
                            <w:r>
                              <w:rPr>
                                <w:bCs/>
                              </w:rPr>
                              <w:t>“The evaluation should also take into account any related regulatory requirements, e.g., ITU limitation of power flux density.” No work on this topic will take place in RAN WGs before the discussion on DL enhancements in RAN#99.</w:t>
                            </w:r>
                          </w:p>
                          <w:p>
                            <w:pPr>
                              <w:spacing w:after="0"/>
                              <w:rPr>
                                <w:bCs/>
                              </w:rPr>
                            </w:pPr>
                          </w:p>
                          <w:p>
                            <w:pPr>
                              <w:spacing w:after="0"/>
                              <w:rPr>
                                <w:bCs/>
                              </w:rPr>
                            </w:pPr>
                            <w:r>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pPr>
                              <w:pStyle w:val="70"/>
                            </w:pPr>
                            <w:r>
                              <w:t>Note: It is understood that the enhancements defined for LEO can also apply to GEO and MEO scenarios as appropriate. No additional work is expected for MEO/GEO.</w:t>
                            </w:r>
                          </w:p>
                          <w:p>
                            <w:pPr>
                              <w:spacing w:after="0"/>
                              <w:rPr>
                                <w:bCs/>
                              </w:rPr>
                            </w:pPr>
                            <w:r>
                              <w:rPr>
                                <w:bCs/>
                              </w:rPr>
                              <w:t>The targeted services are VoIP using AMR 4.75 kbps and data transmission services with Low data rate of 3 kbps.</w:t>
                            </w:r>
                          </w:p>
                          <w:p>
                            <w:pPr>
                              <w:spacing w:after="0"/>
                              <w:rPr>
                                <w:bCs/>
                              </w:rPr>
                            </w:pPr>
                          </w:p>
                          <w:p>
                            <w:pPr>
                              <w:spacing w:after="0"/>
                              <w:rPr>
                                <w:bCs/>
                              </w:rPr>
                            </w:pPr>
                          </w:p>
                          <w:p>
                            <w:pPr>
                              <w:spacing w:after="0"/>
                              <w:rPr>
                                <w:bCs/>
                              </w:rPr>
                            </w:pPr>
                            <w:r>
                              <w:rPr>
                                <w:bCs/>
                              </w:rPr>
                              <w:t xml:space="preserve"> The detailed objectives are for NTN:</w:t>
                            </w:r>
                          </w:p>
                          <w:p>
                            <w:pPr>
                              <w:numPr>
                                <w:ilvl w:val="0"/>
                                <w:numId w:val="4"/>
                              </w:numPr>
                              <w:spacing w:after="0"/>
                              <w:rPr>
                                <w:bCs/>
                              </w:rPr>
                            </w:pPr>
                            <w:r>
                              <w:rPr>
                                <w:bCs/>
                              </w:rPr>
                              <w:t>To specify PUCCH enhancements for Msg4 HARQ-ACK (e.g. repetition) [RAN1, RAN4]</w:t>
                            </w:r>
                          </w:p>
                          <w:p>
                            <w:pPr>
                              <w:numPr>
                                <w:ilvl w:val="0"/>
                                <w:numId w:val="4"/>
                              </w:numPr>
                              <w:spacing w:after="0"/>
                              <w:rPr>
                                <w:bCs/>
                              </w:rPr>
                            </w:pPr>
                            <w:r>
                              <w:rPr>
                                <w:bCs/>
                              </w:rPr>
                              <w:t>To study DMRS bundling for PUSCH taking into account NTN-specifics (e.g. time-frequency pre-compensation) and, if necessary, specify enhancements to the Rel-17 procedures [RAN1]</w:t>
                            </w:r>
                          </w:p>
                          <w:p>
                            <w:pPr>
                              <w:spacing w:after="0"/>
                              <w:rPr>
                                <w:bCs/>
                              </w:rPr>
                            </w:pPr>
                          </w:p>
                          <w:p>
                            <w:pPr>
                              <w:spacing w:after="0"/>
                              <w:rPr>
                                <w:bCs/>
                              </w:rPr>
                            </w:pPr>
                            <w:r>
                              <w:rPr>
                                <w:bCs/>
                              </w:rPr>
                              <w:t>Have a 1-TU 6-month study phase focusing on the following (to derive clear &amp; limited scope):</w:t>
                            </w:r>
                          </w:p>
                          <w:p>
                            <w:pPr>
                              <w:spacing w:after="0"/>
                              <w:rPr>
                                <w:bCs/>
                              </w:rPr>
                            </w:pPr>
                          </w:p>
                          <w:p>
                            <w:pPr>
                              <w:numPr>
                                <w:ilvl w:val="0"/>
                                <w:numId w:val="4"/>
                              </w:numPr>
                              <w:spacing w:after="0"/>
                              <w:rPr>
                                <w:bCs/>
                              </w:rPr>
                            </w:pPr>
                            <w:r>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pPr>
                              <w:numPr>
                                <w:ilvl w:val="1"/>
                                <w:numId w:val="4"/>
                              </w:numPr>
                              <w:spacing w:after="0"/>
                              <w:rPr>
                                <w:bCs/>
                              </w:rPr>
                            </w:pPr>
                            <w:r>
                              <w:rPr>
                                <w:bCs/>
                              </w:rPr>
                              <w:t>VoIP and low-data rate services for commercial handset terminals</w:t>
                            </w:r>
                          </w:p>
                          <w:p>
                            <w:pPr>
                              <w:spacing w:after="0"/>
                              <w:rPr>
                                <w:bCs/>
                              </w:rPr>
                            </w:pPr>
                            <w:r>
                              <w:rPr>
                                <w:bCs/>
                              </w:rPr>
                              <w:t>The following items are shown as examples of areas to consider</w:t>
                            </w:r>
                            <w:r>
                              <w:t xml:space="preserve"> </w:t>
                            </w:r>
                            <w:r>
                              <w:rPr>
                                <w:bCs/>
                              </w:rPr>
                              <w:t>in the RAN2 study.</w:t>
                            </w:r>
                          </w:p>
                          <w:p>
                            <w:pPr>
                              <w:spacing w:after="0"/>
                              <w:rPr>
                                <w:bCs/>
                              </w:rPr>
                            </w:pPr>
                          </w:p>
                          <w:p>
                            <w:pPr>
                              <w:numPr>
                                <w:ilvl w:val="0"/>
                                <w:numId w:val="4"/>
                              </w:numPr>
                              <w:spacing w:after="0"/>
                              <w:rPr>
                                <w:bCs/>
                              </w:rPr>
                            </w:pPr>
                            <w:r>
                              <w:rPr>
                                <w:bCs/>
                              </w:rPr>
                              <w:t>Improved performance of low-rate codecs in link budget limited situation including reducing RAN protocol overhead for VoNR</w:t>
                            </w:r>
                          </w:p>
                          <w:p>
                            <w:pPr>
                              <w:numPr>
                                <w:ilvl w:val="1"/>
                                <w:numId w:val="4"/>
                              </w:numPr>
                              <w:spacing w:after="0"/>
                              <w:rPr>
                                <w:bCs/>
                              </w:rPr>
                            </w:pPr>
                            <w:r>
                              <w:rPr>
                                <w:bCs/>
                              </w:rPr>
                              <w:t>NOTE: Intent is not to introduce a new codec.</w:t>
                            </w:r>
                          </w:p>
                          <w:p>
                            <w:pPr>
                              <w:spacing w:after="0"/>
                              <w:rPr>
                                <w:bCs/>
                              </w:rPr>
                            </w:pPr>
                          </w:p>
                          <w:p>
                            <w:pPr>
                              <w:spacing w:after="0"/>
                            </w:pPr>
                            <w:bookmarkStart w:id="10" w:name="_Hlk86407239"/>
                            <w:r>
                              <w:rPr>
                                <w:bCs/>
                              </w:rPr>
                              <w:t>RAN to determine by RAN#97 (for RAN1 items) and RAN#98 (for RAN2 items) whether the study phase has identified any need for NTN-specific coverage enhancements in Rel-18</w:t>
                            </w:r>
                            <w:bookmarkEnd w:id="10"/>
                            <w:r>
                              <w:rPr>
                                <w:bCs/>
                              </w:rPr>
                              <w:t>. If needed, the set of NTN-specific work item objectives will be further updated.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pt;margin-top:3.45pt;height:547pt;width:485.3pt;mso-wrap-distance-bottom:0pt;mso-wrap-distance-top:0pt;z-index:251659264;mso-width-relative:page;mso-height-relative:page;" fillcolor="#FFFFFF [3201]" filled="t" stroked="t" coordsize="21600,21600" o:gfxdata="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FgAAAGRycy9QSwECFAAUAAAACACHTuJAjWpk5dUAAAAJAQAA&#10;DwAAAAAAAAABACAAAAA4AAAAZHJzL2Rvd25yZXYueG1sUEsBAhQAFAAAAAgAh07iQJ5wnbk/AgAA&#10;agQAAA4AAAAAAAAAAQAgAAAAOgEAAGRycy9lMm9Eb2MueG1sUEsFBgAAAAAGAAYAWQEAAOsFAAAA&#10;AA==&#10;">
                <v:fill on="t" focussize="0,0"/>
                <v:stroke weight="0.5pt" color="#000000 [3204]" joinstyle="round"/>
                <v:imagedata o:title=""/>
                <o:lock v:ext="edit" aspectratio="f"/>
                <v:textbox>
                  <w:txbxContent>
                    <w:p>
                      <w:pPr>
                        <w:spacing w:after="0"/>
                        <w:rPr>
                          <w:bCs/>
                        </w:rPr>
                      </w:pPr>
                      <w:r>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pPr>
                        <w:spacing w:after="0"/>
                        <w:rPr>
                          <w:bCs/>
                        </w:rPr>
                      </w:pPr>
                    </w:p>
                    <w:p>
                      <w:pPr>
                        <w:spacing w:after="0"/>
                        <w:rPr>
                          <w:bCs/>
                        </w:rPr>
                      </w:pPr>
                      <w:r>
                        <w:rPr>
                          <w:bCs/>
                        </w:rPr>
                        <w:t>The following sentence will be revisited in RAN#99 as part of the DL enhancements discussion:</w:t>
                      </w:r>
                    </w:p>
                    <w:p>
                      <w:pPr>
                        <w:spacing w:after="0"/>
                        <w:rPr>
                          <w:bCs/>
                        </w:rPr>
                      </w:pPr>
                      <w:r>
                        <w:rPr>
                          <w:bCs/>
                        </w:rPr>
                        <w:t>“The evaluation should also take into account any related regulatory requirements, e.g., ITU limitation of power flux density.” No work on this topic will take place in RAN WGs before the discussion on DL enhancements in RAN#99.</w:t>
                      </w:r>
                    </w:p>
                    <w:p>
                      <w:pPr>
                        <w:spacing w:after="0"/>
                        <w:rPr>
                          <w:bCs/>
                        </w:rPr>
                      </w:pPr>
                    </w:p>
                    <w:p>
                      <w:pPr>
                        <w:spacing w:after="0"/>
                        <w:rPr>
                          <w:bCs/>
                        </w:rPr>
                      </w:pPr>
                      <w:r>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pPr>
                        <w:pStyle w:val="70"/>
                      </w:pPr>
                      <w:r>
                        <w:t>Note: It is understood that the enhancements defined for LEO can also apply to GEO and MEO scenarios as appropriate. No additional work is expected for MEO/GEO.</w:t>
                      </w:r>
                    </w:p>
                    <w:p>
                      <w:pPr>
                        <w:spacing w:after="0"/>
                        <w:rPr>
                          <w:bCs/>
                        </w:rPr>
                      </w:pPr>
                      <w:r>
                        <w:rPr>
                          <w:bCs/>
                        </w:rPr>
                        <w:t>The targeted services are VoIP using AMR 4.75 kbps and data transmission services with Low data rate of 3 kbps.</w:t>
                      </w:r>
                    </w:p>
                    <w:p>
                      <w:pPr>
                        <w:spacing w:after="0"/>
                        <w:rPr>
                          <w:bCs/>
                        </w:rPr>
                      </w:pPr>
                    </w:p>
                    <w:p>
                      <w:pPr>
                        <w:spacing w:after="0"/>
                        <w:rPr>
                          <w:bCs/>
                        </w:rPr>
                      </w:pPr>
                    </w:p>
                    <w:p>
                      <w:pPr>
                        <w:spacing w:after="0"/>
                        <w:rPr>
                          <w:bCs/>
                        </w:rPr>
                      </w:pPr>
                      <w:r>
                        <w:rPr>
                          <w:bCs/>
                        </w:rPr>
                        <w:t xml:space="preserve"> The detailed objectives are for NTN:</w:t>
                      </w:r>
                    </w:p>
                    <w:p>
                      <w:pPr>
                        <w:numPr>
                          <w:ilvl w:val="0"/>
                          <w:numId w:val="4"/>
                        </w:numPr>
                        <w:spacing w:after="0"/>
                        <w:rPr>
                          <w:bCs/>
                        </w:rPr>
                      </w:pPr>
                      <w:r>
                        <w:rPr>
                          <w:bCs/>
                        </w:rPr>
                        <w:t>To specify PUCCH enhancements for Msg4 HARQ-ACK (e.g. repetition) [RAN1, RAN4]</w:t>
                      </w:r>
                    </w:p>
                    <w:p>
                      <w:pPr>
                        <w:numPr>
                          <w:ilvl w:val="0"/>
                          <w:numId w:val="4"/>
                        </w:numPr>
                        <w:spacing w:after="0"/>
                        <w:rPr>
                          <w:bCs/>
                        </w:rPr>
                      </w:pPr>
                      <w:r>
                        <w:rPr>
                          <w:bCs/>
                        </w:rPr>
                        <w:t>To study DMRS bundling for PUSCH taking into account NTN-specifics (e.g. time-frequency pre-compensation) and, if necessary, specify enhancements to the Rel-17 procedures [RAN1]</w:t>
                      </w:r>
                    </w:p>
                    <w:p>
                      <w:pPr>
                        <w:spacing w:after="0"/>
                        <w:rPr>
                          <w:bCs/>
                        </w:rPr>
                      </w:pPr>
                    </w:p>
                    <w:p>
                      <w:pPr>
                        <w:spacing w:after="0"/>
                        <w:rPr>
                          <w:bCs/>
                        </w:rPr>
                      </w:pPr>
                      <w:r>
                        <w:rPr>
                          <w:bCs/>
                        </w:rPr>
                        <w:t>Have a 1-TU 6-month study phase focusing on the following (to derive clear &amp; limited scope):</w:t>
                      </w:r>
                    </w:p>
                    <w:p>
                      <w:pPr>
                        <w:spacing w:after="0"/>
                        <w:rPr>
                          <w:bCs/>
                        </w:rPr>
                      </w:pPr>
                    </w:p>
                    <w:p>
                      <w:pPr>
                        <w:numPr>
                          <w:ilvl w:val="0"/>
                          <w:numId w:val="4"/>
                        </w:numPr>
                        <w:spacing w:after="0"/>
                        <w:rPr>
                          <w:bCs/>
                        </w:rPr>
                      </w:pPr>
                      <w:r>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pPr>
                        <w:numPr>
                          <w:ilvl w:val="1"/>
                          <w:numId w:val="4"/>
                        </w:numPr>
                        <w:spacing w:after="0"/>
                        <w:rPr>
                          <w:bCs/>
                        </w:rPr>
                      </w:pPr>
                      <w:r>
                        <w:rPr>
                          <w:bCs/>
                        </w:rPr>
                        <w:t>VoIP and low-data rate services for commercial handset terminals</w:t>
                      </w:r>
                    </w:p>
                    <w:p>
                      <w:pPr>
                        <w:spacing w:after="0"/>
                        <w:rPr>
                          <w:bCs/>
                        </w:rPr>
                      </w:pPr>
                      <w:r>
                        <w:rPr>
                          <w:bCs/>
                        </w:rPr>
                        <w:t>The following items are shown as examples of areas to consider</w:t>
                      </w:r>
                      <w:r>
                        <w:t xml:space="preserve"> </w:t>
                      </w:r>
                      <w:r>
                        <w:rPr>
                          <w:bCs/>
                        </w:rPr>
                        <w:t>in the RAN2 study.</w:t>
                      </w:r>
                    </w:p>
                    <w:p>
                      <w:pPr>
                        <w:spacing w:after="0"/>
                        <w:rPr>
                          <w:bCs/>
                        </w:rPr>
                      </w:pPr>
                    </w:p>
                    <w:p>
                      <w:pPr>
                        <w:numPr>
                          <w:ilvl w:val="0"/>
                          <w:numId w:val="4"/>
                        </w:numPr>
                        <w:spacing w:after="0"/>
                        <w:rPr>
                          <w:bCs/>
                        </w:rPr>
                      </w:pPr>
                      <w:r>
                        <w:rPr>
                          <w:bCs/>
                        </w:rPr>
                        <w:t>Improved performance of low-rate codecs in link budget limited situation including reducing RAN protocol overhead for VoNR</w:t>
                      </w:r>
                    </w:p>
                    <w:p>
                      <w:pPr>
                        <w:numPr>
                          <w:ilvl w:val="1"/>
                          <w:numId w:val="4"/>
                        </w:numPr>
                        <w:spacing w:after="0"/>
                        <w:rPr>
                          <w:bCs/>
                        </w:rPr>
                      </w:pPr>
                      <w:r>
                        <w:rPr>
                          <w:bCs/>
                        </w:rPr>
                        <w:t>NOTE: Intent is not to introduce a new codec.</w:t>
                      </w:r>
                    </w:p>
                    <w:p>
                      <w:pPr>
                        <w:spacing w:after="0"/>
                        <w:rPr>
                          <w:bCs/>
                        </w:rPr>
                      </w:pPr>
                    </w:p>
                    <w:p>
                      <w:pPr>
                        <w:spacing w:after="0"/>
                      </w:pPr>
                      <w:bookmarkStart w:id="10" w:name="_Hlk86407239"/>
                      <w:r>
                        <w:rPr>
                          <w:bCs/>
                        </w:rPr>
                        <w:t>RAN to determine by RAN#97 (for RAN1 items) and RAN#98 (for RAN2 items) whether the study phase has identified any need for NTN-specific coverage enhancements in Rel-18</w:t>
                      </w:r>
                      <w:bookmarkEnd w:id="10"/>
                      <w:r>
                        <w:rPr>
                          <w:bCs/>
                        </w:rPr>
                        <w:t>. If needed, the set of NTN-specific work item objectives will be further updated.</w:t>
                      </w:r>
                    </w:p>
                  </w:txbxContent>
                </v:textbox>
                <w10:wrap type="topAndBottom"/>
              </v:shape>
            </w:pict>
          </mc:Fallback>
        </mc:AlternateContent>
      </w:r>
    </w:p>
    <w:bookmarkEnd w:id="5"/>
    <w:p>
      <w:pPr>
        <w:widowControl w:val="0"/>
        <w:overflowPunct w:val="0"/>
        <w:autoSpaceDE w:val="0"/>
        <w:autoSpaceDN w:val="0"/>
        <w:adjustRightInd w:val="0"/>
        <w:spacing w:after="0"/>
        <w:textAlignment w:val="baseline"/>
        <w:rPr>
          <w:rFonts w:ascii="Times New Roman" w:hAnsi="Times New Roman" w:cs="Times New Roman" w:eastAsiaTheme="minorEastAsia"/>
          <w:sz w:val="22"/>
          <w:szCs w:val="22"/>
          <w:lang w:val="en-GB" w:eastAsia="en-US" w:bidi="ar-SA"/>
        </w:rPr>
      </w:pPr>
      <w:r>
        <w:rPr>
          <w:rFonts w:cs="Arial"/>
          <w:sz w:val="22"/>
          <w:szCs w:val="22"/>
        </w:rPr>
        <w:t>In this contribution,</w:t>
      </w:r>
      <w:r>
        <w:rPr>
          <w:rFonts w:hint="eastAsia" w:cs="Arial"/>
          <w:sz w:val="22"/>
          <w:szCs w:val="22"/>
          <w:lang w:val="en-US" w:eastAsia="zh-CN"/>
        </w:rPr>
        <w:t xml:space="preserve"> we will discuss in more details regarding </w:t>
      </w:r>
      <w:r>
        <w:rPr>
          <w:rFonts w:hint="eastAsia" w:cs="Times New Roman"/>
          <w:sz w:val="22"/>
          <w:szCs w:val="22"/>
          <w:lang w:val="en-US" w:eastAsia="zh-CN" w:bidi="ar-SA"/>
        </w:rPr>
        <w:t xml:space="preserve">PUCCH enhancement for Msg4 HARQ-ACK and DMRS bundling for PUSCH for NTN. </w:t>
      </w:r>
    </w:p>
    <w:p>
      <w:pPr>
        <w:pStyle w:val="13"/>
        <w:spacing w:before="120"/>
        <w:rPr>
          <w:rFonts w:hint="default" w:cs="Arial"/>
          <w:sz w:val="22"/>
          <w:szCs w:val="22"/>
          <w:lang w:val="en-US"/>
        </w:rPr>
      </w:pPr>
    </w:p>
    <w:p>
      <w:pPr>
        <w:rPr>
          <w:rFonts w:cs="Arial"/>
        </w:rPr>
      </w:pPr>
    </w:p>
    <w:p>
      <w:pPr>
        <w:pStyle w:val="2"/>
        <w:numPr>
          <w:ilvl w:val="0"/>
          <w:numId w:val="0"/>
        </w:numPr>
        <w:tabs>
          <w:tab w:val="left" w:pos="432"/>
        </w:tabs>
        <w:ind w:leftChars="0"/>
        <w:outlineLvl w:val="0"/>
        <w:rPr>
          <w:rFonts w:hint="default" w:eastAsiaTheme="minorEastAsia"/>
          <w:sz w:val="28"/>
          <w:lang w:val="en-US" w:eastAsia="zh-CN"/>
        </w:rPr>
      </w:pPr>
      <w:r>
        <w:rPr>
          <w:rFonts w:hint="eastAsia" w:eastAsiaTheme="minorEastAsia"/>
          <w:sz w:val="32"/>
          <w:lang w:val="en-US" w:eastAsia="zh-CN"/>
        </w:rPr>
        <w:t>2. Discussion</w:t>
      </w:r>
    </w:p>
    <w:p>
      <w:pPr>
        <w:rPr>
          <w:rFonts w:hint="eastAsia"/>
          <w:sz w:val="22"/>
          <w:szCs w:val="22"/>
          <w:lang w:val="en-US" w:eastAsia="zh-CN"/>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2.1 PUCCH enhancement for Msg4 HARQ-ACK</w:t>
      </w:r>
    </w:p>
    <w:p>
      <w:pPr>
        <w:rPr>
          <w:rFonts w:hint="eastAsia"/>
          <w:sz w:val="22"/>
          <w:szCs w:val="22"/>
          <w:lang w:val="en-US" w:eastAsia="zh-CN"/>
        </w:rPr>
      </w:pPr>
      <w:r>
        <w:rPr>
          <w:rFonts w:hint="eastAsia"/>
          <w:sz w:val="22"/>
          <w:szCs w:val="22"/>
          <w:lang w:val="en-US" w:eastAsia="zh-CN"/>
        </w:rPr>
        <w:t>PUCCH for Msg4 HARQ-ACK is one of the necessary steps for the random access procedur</w:t>
      </w:r>
      <w:r>
        <w:rPr>
          <w:rFonts w:hint="default"/>
          <w:sz w:val="22"/>
          <w:szCs w:val="22"/>
          <w:lang w:eastAsia="zh-CN"/>
          <w:woUserID w:val="1"/>
        </w:rPr>
        <w:t>e</w:t>
      </w:r>
      <w:r>
        <w:rPr>
          <w:rFonts w:hint="eastAsia"/>
          <w:sz w:val="22"/>
          <w:szCs w:val="22"/>
          <w:lang w:val="en-US" w:eastAsia="zh-CN"/>
        </w:rPr>
        <w:t xml:space="preserve">. It uses PUCCH format 1 with 1 bit payload using BPSK.  </w:t>
      </w:r>
    </w:p>
    <w:p>
      <w:pPr>
        <w:rPr>
          <w:rFonts w:hint="default"/>
          <w:bCs/>
          <w:lang w:val="en-US" w:eastAsia="zh-CN"/>
        </w:rPr>
      </w:pPr>
      <w:r>
        <w:rPr>
          <w:rFonts w:hint="eastAsia"/>
          <w:sz w:val="22"/>
          <w:szCs w:val="22"/>
          <w:lang w:val="en-US" w:eastAsia="zh-CN"/>
        </w:rPr>
        <w:t xml:space="preserve">In RAN1#110 meeting, significant link budget gap is observed for </w:t>
      </w:r>
      <w:r>
        <w:rPr>
          <w:rFonts w:ascii="Times" w:hAnsi="Times" w:eastAsia="Batang"/>
          <w:sz w:val="22"/>
          <w:szCs w:val="18"/>
          <w:lang w:val="en-US" w:eastAsia="en-US"/>
        </w:rPr>
        <w:t>PUCCH for Msg4 HARQ-ACK</w:t>
      </w:r>
      <w:r>
        <w:rPr>
          <w:rFonts w:hint="eastAsia" w:ascii="Times" w:hAnsi="Times" w:eastAsia="宋体"/>
          <w:sz w:val="22"/>
          <w:szCs w:val="18"/>
          <w:lang w:val="en-US" w:eastAsia="zh-CN"/>
        </w:rPr>
        <w:t xml:space="preserve"> in the reference scenario, i.e. </w:t>
      </w:r>
      <w:r>
        <w:rPr>
          <w:bCs/>
        </w:rPr>
        <w:t>parameter set-1 for LEO-1200 satellite operating at Line of Sight (LOS) and commercial smartphones</w:t>
      </w:r>
      <w:r>
        <w:rPr>
          <w:rFonts w:hint="eastAsia"/>
          <w:bCs/>
          <w:lang w:val="en-US" w:eastAsia="zh-CN"/>
        </w:rPr>
        <w:t xml:space="preserve"> </w:t>
      </w:r>
      <w:r>
        <w:rPr>
          <w:bCs/>
        </w:rPr>
        <w:t>with -5 dBi antenna gain and 3 dB polari</w:t>
      </w:r>
      <w:r>
        <w:rPr>
          <w:rFonts w:hint="eastAsia"/>
          <w:bCs/>
          <w:lang w:val="en-US" w:eastAsia="zh-CN"/>
        </w:rPr>
        <w:t>z</w:t>
      </w:r>
      <w:r>
        <w:rPr>
          <w:bCs/>
        </w:rPr>
        <w:t>ation loss (per antenna port)</w:t>
      </w:r>
      <w:r>
        <w:rPr>
          <w:rFonts w:hint="eastAsia"/>
          <w:bCs/>
          <w:lang w:val="en-US" w:eastAsia="zh-CN"/>
        </w:rPr>
        <w:t xml:space="preserve">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1</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 xml:space="preserve">. </w:t>
      </w:r>
      <w:r>
        <w:rPr>
          <w:rFonts w:hint="eastAsia"/>
          <w:bCs/>
          <w:lang w:val="en-US" w:eastAsia="zh-CN"/>
        </w:rPr>
        <w:t xml:space="preserve">In RAN#97 meeting, the reference scenario is updated with a worse antenna gain (-5.5dBi)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2</w:t>
      </w:r>
      <w:r>
        <w:rPr>
          <w:rFonts w:ascii="Times New Roman" w:hAnsi="Times New Roman" w:cs="Times New Roman" w:eastAsiaTheme="minorEastAsia"/>
          <w:sz w:val="22"/>
          <w:szCs w:val="22"/>
          <w:lang w:val="en-GB" w:eastAsia="en-US" w:bidi="ar-SA"/>
        </w:rPr>
        <w:t>]</w:t>
      </w:r>
      <w:r>
        <w:rPr>
          <w:rFonts w:hint="eastAsia"/>
          <w:bCs/>
          <w:lang w:val="en-US" w:eastAsia="zh-CN"/>
        </w:rPr>
        <w:t xml:space="preserve">, making the link budget gap bigger. </w:t>
      </w:r>
    </w:p>
    <w:p>
      <w:pPr>
        <w:rPr>
          <w:rFonts w:hint="default" w:cs="Times New Roman"/>
          <w:sz w:val="22"/>
          <w:szCs w:val="22"/>
          <w:lang w:val="en-US" w:eastAsia="zh-CN" w:bidi="ar-SA"/>
        </w:rPr>
      </w:pPr>
      <w:r>
        <w:rPr>
          <w:rFonts w:hint="eastAsia"/>
          <w:bCs/>
          <w:lang w:val="en-US" w:eastAsia="zh-CN"/>
        </w:rPr>
        <w:t>On the other hand, RAN1 does not observe significant link budget gaps</w:t>
      </w:r>
      <w:r>
        <w:rPr>
          <w:rFonts w:hint="eastAsia" w:cs="Times New Roman"/>
          <w:sz w:val="22"/>
          <w:szCs w:val="22"/>
          <w:lang w:val="en-US" w:eastAsia="zh-CN" w:bidi="ar-SA"/>
        </w:rPr>
        <w:t xml:space="preserve"> </w:t>
      </w:r>
      <w:r>
        <w:rPr>
          <w:rFonts w:hint="eastAsia"/>
          <w:bCs/>
          <w:lang w:val="en-US" w:eastAsia="zh-CN"/>
        </w:rPr>
        <w:t xml:space="preserve">for PUCCHs in other cases (i.e. PUCCH format 1 with 2 bit payload, PUCCH format3)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1</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w:t>
      </w:r>
    </w:p>
    <w:p>
      <w:pPr>
        <w:rPr>
          <w:rFonts w:hint="default"/>
          <w:sz w:val="22"/>
          <w:szCs w:val="22"/>
          <w:lang w:val="en-US" w:eastAsia="zh-CN"/>
        </w:rPr>
      </w:pPr>
      <w:r>
        <w:rPr>
          <w:rFonts w:hint="eastAsia" w:cs="Times New Roman"/>
          <w:sz w:val="22"/>
          <w:szCs w:val="22"/>
          <w:lang w:val="en-US" w:eastAsia="zh-CN" w:bidi="ar-SA"/>
        </w:rPr>
        <w:t xml:space="preserve">We believe the reason for these results is that </w:t>
      </w:r>
      <w:r>
        <w:rPr>
          <w:rFonts w:hint="eastAsia"/>
          <w:sz w:val="22"/>
          <w:szCs w:val="22"/>
          <w:lang w:val="en-US" w:eastAsia="zh-CN"/>
        </w:rPr>
        <w:t>PUCCH for Msg4 HARQ-ACK can not use transmiss</w:t>
      </w:r>
      <w:r>
        <w:rPr>
          <w:rFonts w:hint="default"/>
          <w:sz w:val="22"/>
          <w:szCs w:val="22"/>
          <w:lang w:eastAsia="zh-CN"/>
          <w:woUserID w:val="1"/>
        </w:rPr>
        <w:t>i</w:t>
      </w:r>
      <w:r>
        <w:rPr>
          <w:rFonts w:hint="eastAsia"/>
          <w:sz w:val="22"/>
          <w:szCs w:val="22"/>
          <w:lang w:val="en-US" w:eastAsia="zh-CN"/>
        </w:rPr>
        <w:t xml:space="preserve">on repetition in Rel-17, which can be seen from specification </w:t>
      </w:r>
      <w:r>
        <w:rPr>
          <w:rFonts w:hint="eastAsia"/>
          <w:lang w:val="en-US" w:eastAsia="zh-CN"/>
        </w:rPr>
        <w:t>38.213 and 38.331.</w:t>
      </w:r>
    </w:p>
    <w:p>
      <w:pPr>
        <w:rPr>
          <w:rFonts w:hint="eastAsia"/>
          <w:sz w:val="22"/>
          <w:szCs w:val="22"/>
          <w:lang w:val="en-US" w:eastAsia="zh-CN"/>
        </w:rPr>
      </w:pPr>
    </w:p>
    <w:p>
      <w:pPr>
        <w:rPr>
          <w:rFonts w:hint="default"/>
          <w:lang w:val="en-US" w:eastAsia="zh-CN"/>
        </w:rPr>
      </w:pPr>
      <w:r>
        <w:rPr>
          <w:rFonts w:hint="eastAsia"/>
          <w:lang w:val="en-US" w:eastAsia="zh-CN"/>
        </w:rPr>
        <w:t xml:space="preserve">In TS 38.213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3</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 xml:space="preserve">, cell specific </w:t>
      </w:r>
      <w:r>
        <w:rPr>
          <w:rFonts w:hint="eastAsia"/>
          <w:lang w:val="en-US" w:eastAsia="zh-CN"/>
        </w:rPr>
        <w:t>PUCCH resource set are specified as following:</w:t>
      </w:r>
    </w:p>
    <w:p>
      <w:pPr>
        <w:rPr>
          <w:rFonts w:hint="default"/>
          <w:color w:val="2E75B6" w:themeColor="accent1" w:themeShade="BF"/>
          <w:lang w:val="en-US" w:eastAsia="zh-CN"/>
        </w:rPr>
      </w:pPr>
      <w:r>
        <w:rPr>
          <w:color w:val="2E75B6" w:themeColor="accent1" w:themeShade="BF"/>
        </w:rPr>
        <w:t xml:space="preserve">If a UE does not have dedicated PUCCH resource configuration, provided by </w:t>
      </w:r>
      <w:r>
        <w:rPr>
          <w:i/>
          <w:color w:val="2E75B6" w:themeColor="accent1" w:themeShade="BF"/>
        </w:rPr>
        <w:t>PUCCH-</w:t>
      </w:r>
      <w:r>
        <w:rPr>
          <w:i/>
          <w:color w:val="2E75B6" w:themeColor="accent1" w:themeShade="BF"/>
          <w:lang w:val="en-US"/>
        </w:rPr>
        <w:t>ResourceSet</w:t>
      </w:r>
      <w:r>
        <w:rPr>
          <w:color w:val="2E75B6" w:themeColor="accent1" w:themeShade="BF"/>
        </w:rPr>
        <w:t xml:space="preserve"> in </w:t>
      </w:r>
      <w:r>
        <w:rPr>
          <w:i/>
          <w:color w:val="2E75B6" w:themeColor="accent1" w:themeShade="BF"/>
        </w:rPr>
        <w:t>PUCCH-Config</w:t>
      </w:r>
      <w:r>
        <w:rPr>
          <w:color w:val="2E75B6" w:themeColor="accent1" w:themeShade="BF"/>
        </w:rPr>
        <w:t xml:space="preserve">, a PUCCH resource set is provided by </w:t>
      </w:r>
      <w:r>
        <w:rPr>
          <w:i/>
          <w:color w:val="2E75B6" w:themeColor="accent1" w:themeShade="BF"/>
        </w:rPr>
        <w:t>pucch-</w:t>
      </w:r>
      <w:r>
        <w:rPr>
          <w:i/>
          <w:color w:val="2E75B6" w:themeColor="accent1" w:themeShade="BF"/>
          <w:lang w:val="en-US"/>
        </w:rPr>
        <w:t>ResourceCommon</w:t>
      </w:r>
      <w:r>
        <w:rPr>
          <w:color w:val="2E75B6" w:themeColor="accent1" w:themeShade="BF"/>
        </w:rPr>
        <w:t xml:space="preserve"> through </w:t>
      </w:r>
      <w:r>
        <w:rPr>
          <w:color w:val="2E75B6" w:themeColor="accent1" w:themeShade="BF"/>
          <w:lang w:val="en-US"/>
        </w:rPr>
        <w:t xml:space="preserve">an index to a row of Table 9.2.1-1 </w:t>
      </w:r>
      <w:r>
        <w:rPr>
          <w:rFonts w:eastAsia="等线"/>
          <w:color w:val="2E75B6" w:themeColor="accent1" w:themeShade="BF"/>
        </w:rPr>
        <w:t xml:space="preserve">for transmission of HARQ-ACK information on PUCCH in an initial UL BWP of </w:t>
      </w:r>
      <m:oMath>
        <m:sSubSup>
          <m:sSubSupPr>
            <m:ctrlPr>
              <w:rPr>
                <w:rFonts w:ascii="Cambria Math" w:hAnsi="Cambria Math"/>
                <w:color w:val="2E75B6" w:themeColor="accent1" w:themeShade="BF"/>
              </w:rPr>
            </m:ctrlPr>
          </m:sSubSupPr>
          <m:e>
            <m:r>
              <w:rPr>
                <w:rFonts w:ascii="Cambria Math" w:hAnsi="Cambria Math"/>
                <w:color w:val="2E75B6" w:themeColor="accent1" w:themeShade="BF"/>
              </w:rPr>
              <m:t>N</m:t>
            </m:r>
            <m:ctrlPr>
              <w:rPr>
                <w:rFonts w:ascii="Cambria Math" w:hAnsi="Cambria Math"/>
                <w:color w:val="2E75B6" w:themeColor="accent1" w:themeShade="BF"/>
              </w:rPr>
            </m:ctrlPr>
          </m:e>
          <m:sub>
            <m:r>
              <m:rPr>
                <m:nor/>
                <m:sty m:val="p"/>
              </m:rPr>
              <w:rPr>
                <w:rFonts w:ascii="Cambria Math"/>
                <w:b w:val="0"/>
                <w:i w:val="0"/>
                <w:color w:val="2E75B6" w:themeColor="accent1" w:themeShade="BF"/>
              </w:rPr>
              <m:t>BWP</m:t>
            </m:r>
            <m:ctrlPr>
              <w:rPr>
                <w:rFonts w:ascii="Cambria Math" w:hAnsi="Cambria Math"/>
                <w:color w:val="2E75B6" w:themeColor="accent1" w:themeShade="BF"/>
              </w:rPr>
            </m:ctrlPr>
          </m:sub>
          <m:sup>
            <m:r>
              <m:rPr>
                <m:nor/>
                <m:sty m:val="p"/>
              </m:rPr>
              <w:rPr>
                <w:b w:val="0"/>
                <w:i w:val="0"/>
                <w:color w:val="2E75B6" w:themeColor="accent1" w:themeShade="BF"/>
              </w:rPr>
              <m:t>size</m:t>
            </m:r>
            <m:ctrlPr>
              <w:rPr>
                <w:rFonts w:ascii="Cambria Math" w:hAnsi="Cambria Math"/>
                <w:color w:val="2E75B6" w:themeColor="accent1" w:themeShade="BF"/>
              </w:rPr>
            </m:ctrlPr>
          </m:sup>
        </m:sSubSup>
      </m:oMath>
      <w:r>
        <w:rPr>
          <w:color w:val="2E75B6" w:themeColor="accent1" w:themeShade="BF"/>
        </w:rPr>
        <w:t xml:space="preserve"> P</w:t>
      </w:r>
      <w:r>
        <w:rPr>
          <w:rFonts w:eastAsia="等线"/>
          <w:color w:val="2E75B6" w:themeColor="accent1" w:themeShade="BF"/>
        </w:rPr>
        <w:t>RBs</w:t>
      </w:r>
      <w:r>
        <w:rPr>
          <w:color w:val="2E75B6" w:themeColor="accent1" w:themeShade="BF"/>
        </w:rPr>
        <w:t xml:space="preserve">. </w:t>
      </w:r>
    </w:p>
    <w:p>
      <w:pPr>
        <w:rPr>
          <w:rFonts w:hint="eastAsia"/>
          <w:sz w:val="22"/>
          <w:szCs w:val="22"/>
          <w:lang w:val="en-US" w:eastAsia="zh-CN"/>
        </w:rPr>
      </w:pPr>
      <w:r>
        <w:drawing>
          <wp:inline distT="0" distB="0" distL="114300" distR="114300">
            <wp:extent cx="5910580" cy="3100070"/>
            <wp:effectExtent l="0" t="0" r="2540" b="889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4"/>
                    <a:stretch>
                      <a:fillRect/>
                    </a:stretch>
                  </pic:blipFill>
                  <pic:spPr>
                    <a:xfrm>
                      <a:off x="0" y="0"/>
                      <a:ext cx="5910580" cy="3100070"/>
                    </a:xfrm>
                    <a:prstGeom prst="rect">
                      <a:avLst/>
                    </a:prstGeom>
                    <a:noFill/>
                    <a:ln>
                      <a:noFill/>
                    </a:ln>
                  </pic:spPr>
                </pic:pic>
              </a:graphicData>
            </a:graphic>
          </wp:inline>
        </w:drawing>
      </w:r>
    </w:p>
    <w:p/>
    <w:p>
      <w:pPr>
        <w:rPr>
          <w:rFonts w:hint="default"/>
          <w:lang w:val="en-US" w:eastAsia="zh-CN"/>
        </w:rPr>
      </w:pPr>
      <w:r>
        <w:rPr>
          <w:rFonts w:hint="eastAsia" w:cs="Times New Roman"/>
          <w:sz w:val="22"/>
          <w:szCs w:val="22"/>
          <w:lang w:val="en-US" w:eastAsia="zh-CN" w:bidi="ar-SA"/>
        </w:rPr>
        <w:t xml:space="preserve">The parameter </w:t>
      </w:r>
      <w:r>
        <w:rPr>
          <w:rFonts w:hint="eastAsia"/>
          <w:i/>
          <w:iCs/>
          <w:lang w:val="en-US" w:eastAsia="zh-CN"/>
        </w:rPr>
        <w:t>pucch-ResourceCommon</w:t>
      </w:r>
      <w:r>
        <w:rPr>
          <w:rFonts w:hint="eastAsia"/>
          <w:lang w:val="en-US" w:eastAsia="zh-CN"/>
        </w:rPr>
        <w:t xml:space="preserve"> is specified in the IE PUCCH-ConfigCommon in TS 38.331, as following: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4</w:t>
      </w:r>
      <w:r>
        <w:rPr>
          <w:rFonts w:ascii="Times New Roman" w:hAnsi="Times New Roman" w:cs="Times New Roman" w:eastAsiaTheme="minorEastAsia"/>
          <w:sz w:val="22"/>
          <w:szCs w:val="22"/>
          <w:lang w:val="en-GB" w:eastAsia="en-US" w:bidi="ar-SA"/>
        </w:rPr>
        <w:t>]</w:t>
      </w:r>
    </w:p>
    <w:p>
      <w:pPr>
        <w:pStyle w:val="71"/>
        <w:rPr>
          <w:color w:val="2E75B6" w:themeColor="accent1" w:themeShade="BF"/>
          <w:szCs w:val="22"/>
          <w:lang w:eastAsia="sv-SE"/>
        </w:rPr>
      </w:pPr>
      <w:r>
        <w:rPr>
          <w:b/>
          <w:i/>
          <w:color w:val="2E75B6" w:themeColor="accent1" w:themeShade="BF"/>
          <w:szCs w:val="22"/>
          <w:lang w:eastAsia="sv-SE"/>
        </w:rPr>
        <w:t>pucch-ResourceCommon</w:t>
      </w:r>
    </w:p>
    <w:p>
      <w:pPr>
        <w:rPr>
          <w:rFonts w:hint="eastAsia"/>
          <w:lang w:val="en-US" w:eastAsia="zh-CN"/>
        </w:rPr>
      </w:pPr>
      <w:r>
        <w:rPr>
          <w:color w:val="2E75B6" w:themeColor="accent1" w:themeShade="BF"/>
          <w:szCs w:val="22"/>
          <w:lang w:eastAsia="sv-SE"/>
        </w:rPr>
        <w:t xml:space="preserve">An entry into a 16-row table where each row configures a set of cell-specific PUCCH resources/parameters. The UE uses those PUCCH resources until it is provided with a dedicated </w:t>
      </w:r>
      <w:r>
        <w:rPr>
          <w:i/>
          <w:color w:val="2E75B6" w:themeColor="accent1" w:themeShade="BF"/>
          <w:szCs w:val="22"/>
          <w:lang w:eastAsia="sv-SE"/>
        </w:rPr>
        <w:t>PUCCH-Config</w:t>
      </w:r>
      <w:r>
        <w:rPr>
          <w:color w:val="2E75B6" w:themeColor="accent1" w:themeShade="BF"/>
          <w:szCs w:val="22"/>
          <w:lang w:eastAsia="sv-SE"/>
        </w:rPr>
        <w:t xml:space="preserve"> (e.g. during initial access) on the initial uplink BWP. Once the network provides a dedicated </w:t>
      </w:r>
      <w:r>
        <w:rPr>
          <w:i/>
          <w:color w:val="2E75B6" w:themeColor="accent1" w:themeShade="BF"/>
          <w:szCs w:val="22"/>
          <w:lang w:eastAsia="sv-SE"/>
        </w:rPr>
        <w:t>PUCCH-Config</w:t>
      </w:r>
      <w:r>
        <w:rPr>
          <w:color w:val="2E75B6" w:themeColor="accent1" w:themeShade="BF"/>
          <w:szCs w:val="22"/>
          <w:lang w:eastAsia="sv-SE"/>
        </w:rPr>
        <w:t xml:space="preserve"> for that bandwidth part the UE applies that one instead of the one provided in this field (see TS 38.213 [13], clause 9.2).</w:t>
      </w:r>
    </w:p>
    <w:p>
      <w:r>
        <w:drawing>
          <wp:inline distT="0" distB="0" distL="114300" distR="114300">
            <wp:extent cx="5908040" cy="1289685"/>
            <wp:effectExtent l="0" t="0" r="5080" b="571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5"/>
                    <a:stretch>
                      <a:fillRect/>
                    </a:stretch>
                  </pic:blipFill>
                  <pic:spPr>
                    <a:xfrm>
                      <a:off x="0" y="0"/>
                      <a:ext cx="5908040" cy="1289685"/>
                    </a:xfrm>
                    <a:prstGeom prst="rect">
                      <a:avLst/>
                    </a:prstGeom>
                    <a:noFill/>
                    <a:ln>
                      <a:noFill/>
                    </a:ln>
                  </pic:spPr>
                </pic:pic>
              </a:graphicData>
            </a:graphic>
          </wp:inline>
        </w:drawing>
      </w:r>
    </w:p>
    <w:p>
      <w:pPr>
        <w:rPr>
          <w:rFonts w:hint="default"/>
          <w:b/>
          <w:i/>
          <w:color w:val="000000" w:themeColor="text1"/>
          <w:lang w:val="en-US" w:eastAsia="zh-CN"/>
          <w14:textFill>
            <w14:solidFill>
              <w14:schemeClr w14:val="tx1"/>
            </w14:solidFill>
          </w14:textFill>
        </w:rPr>
      </w:pPr>
    </w:p>
    <w:p>
      <w:pPr>
        <w:rPr>
          <w:rFonts w:hint="eastAsia" w:cs="Times New Roman"/>
          <w:sz w:val="22"/>
          <w:szCs w:val="22"/>
          <w:lang w:val="en-US" w:eastAsia="zh-CN" w:bidi="ar-SA"/>
        </w:rPr>
      </w:pPr>
      <w:r>
        <w:rPr>
          <w:rFonts w:hint="eastAsia" w:cs="Times New Roman"/>
          <w:sz w:val="22"/>
          <w:szCs w:val="22"/>
          <w:lang w:val="en-US" w:eastAsia="zh-CN" w:bidi="ar-SA"/>
        </w:rPr>
        <w:t>From these specifications, it can be seen that Msg4 HARQ-ACK during initial access uses cell-specific PUCCH resources, and repetition is not supported yet.</w:t>
      </w:r>
      <w:r>
        <w:rPr>
          <w:rFonts w:hint="eastAsia"/>
          <w:lang w:val="en-US" w:eastAsia="zh-CN"/>
        </w:rPr>
        <w:t xml:space="preserve"> This is why </w:t>
      </w:r>
      <w:r>
        <w:rPr>
          <w:rFonts w:hint="eastAsia" w:cs="Times New Roman"/>
          <w:sz w:val="22"/>
          <w:szCs w:val="22"/>
          <w:lang w:val="en-US" w:eastAsia="zh-CN" w:bidi="ar-SA"/>
        </w:rPr>
        <w:t>Msg4 HARQ-ACK has significant link budget gap while other PUCCHs do not.</w:t>
      </w:r>
    </w:p>
    <w:p>
      <w:pPr>
        <w:rPr>
          <w:rFonts w:hint="default"/>
          <w:lang w:val="en-US" w:eastAsia="zh-CN"/>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C</w:t>
      </w:r>
      <w:r>
        <w:rPr>
          <w:rFonts w:hint="eastAsia"/>
          <w:i/>
          <w:color w:val="000000" w:themeColor="text1"/>
          <w:lang w:val="en-US" w:eastAsia="zh-CN"/>
          <w14:textFill>
            <w14:solidFill>
              <w14:schemeClr w14:val="tx1"/>
            </w14:solidFill>
          </w14:textFill>
        </w:rPr>
        <w:t>ell-specific PUCCH resources/parameters are used for Msg4 HARQ-ACK in Rel-17.</w:t>
      </w: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PUCCH repetition is not supported for the case of Msg4 HARQ-ACK in Rel-17.</w:t>
      </w:r>
    </w:p>
    <w:p>
      <w:pPr>
        <w:rPr>
          <w:rFonts w:hint="eastAsia"/>
          <w:sz w:val="22"/>
          <w:szCs w:val="22"/>
          <w:lang w:val="en-US" w:eastAsia="zh-CN"/>
        </w:rPr>
      </w:pPr>
      <w:r>
        <w:rPr>
          <w:rFonts w:hint="eastAsia"/>
          <w:b/>
          <w:i/>
          <w:color w:val="000000" w:themeColor="text1"/>
          <w:lang w:val="en-US" w:eastAsia="zh-CN"/>
          <w14:textFill>
            <w14:solidFill>
              <w14:schemeClr w14:val="tx1"/>
            </w14:solidFill>
          </w14:textFill>
        </w:rPr>
        <w:t>Proposal 1</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NTN coverage enhancement in Rel-18, support PUCCH repetition for Msg4 HARQ-ACK.</w:t>
      </w:r>
    </w:p>
    <w:p>
      <w:pPr>
        <w:rPr>
          <w:rFonts w:hint="eastAsia"/>
          <w:sz w:val="22"/>
          <w:szCs w:val="22"/>
          <w:lang w:val="en-US" w:eastAsia="zh-CN"/>
        </w:rPr>
      </w:pPr>
    </w:p>
    <w:p>
      <w:pPr>
        <w:rPr>
          <w:rFonts w:hint="eastAsia"/>
          <w:lang w:val="en-US" w:eastAsia="zh-CN"/>
        </w:rPr>
      </w:pPr>
      <w:r>
        <w:rPr>
          <w:rFonts w:hint="eastAsia"/>
          <w:lang w:val="en-US" w:eastAsia="zh-CN"/>
        </w:rPr>
        <w:t xml:space="preserve">To support PUCCH repetition for Msg4 HARQ-ACK, a number of continuous slots can be used for the repetition. The repetition number can be indicated to PHY layer by a newly added RRC parameter. For example, add a new parameter </w:t>
      </w:r>
      <w:r>
        <w:rPr>
          <w:rFonts w:hint="eastAsia"/>
          <w:i/>
          <w:iCs/>
          <w:lang w:val="en-US" w:eastAsia="zh-CN"/>
        </w:rPr>
        <w:t xml:space="preserve">nrofSlots </w:t>
      </w:r>
      <w:r>
        <w:rPr>
          <w:rFonts w:hint="eastAsia"/>
          <w:lang w:val="en-US" w:eastAsia="zh-CN"/>
        </w:rPr>
        <w:t xml:space="preserve">in </w:t>
      </w:r>
      <w:r>
        <w:rPr>
          <w:rFonts w:hint="eastAsia"/>
          <w:i/>
          <w:iCs/>
          <w:lang w:val="en-US" w:eastAsia="zh-CN"/>
        </w:rPr>
        <w:t>PUCCH-ConfigCommon</w:t>
      </w:r>
      <w:r>
        <w:rPr>
          <w:rFonts w:hint="eastAsia"/>
          <w:lang w:val="en-US" w:eastAsia="zh-CN"/>
        </w:rPr>
        <w:t xml:space="preserve"> to configure the number of repetitions for PUCCH for Msg4 HARQ-ACK. The parameter </w:t>
      </w:r>
      <w:r>
        <w:rPr>
          <w:rFonts w:hint="eastAsia"/>
          <w:i/>
          <w:iCs/>
          <w:lang w:val="en-US" w:eastAsia="zh-CN"/>
        </w:rPr>
        <w:t xml:space="preserve">nrofSlots </w:t>
      </w:r>
      <w:r>
        <w:rPr>
          <w:rFonts w:hint="eastAsia"/>
          <w:i w:val="0"/>
          <w:iCs/>
          <w:color w:val="000000" w:themeColor="text1"/>
          <w:lang w:val="en-US" w:eastAsia="zh-CN"/>
          <w14:textFill>
            <w14:solidFill>
              <w14:schemeClr w14:val="tx1"/>
            </w14:solidFill>
          </w14:textFill>
        </w:rPr>
        <w:t xml:space="preserve">can be </w:t>
      </w:r>
      <w:r>
        <w:rPr>
          <w:rFonts w:hint="eastAsia"/>
          <w:i w:val="0"/>
          <w:iCs/>
          <w:lang w:val="en-US" w:eastAsia="zh-CN"/>
        </w:rPr>
        <w:t>{n1, n2, n4, n8}.</w:t>
      </w:r>
    </w:p>
    <w:p>
      <w:pPr>
        <w:rPr>
          <w:rFonts w:hint="default"/>
          <w:lang w:val="en-US" w:eastAsia="zh-CN"/>
        </w:rPr>
      </w:pPr>
    </w:p>
    <w:p>
      <w:pPr>
        <w:rPr>
          <w:rFonts w:hint="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2</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Number of repetition for PUCCH for Msg4 HARQ-ACK can be configured to the PHY layer by a RRC parameter. </w:t>
      </w:r>
    </w:p>
    <w:p>
      <w:pPr>
        <w:rPr>
          <w:rFonts w:hint="default"/>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3</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Add a new RRC parameter</w:t>
      </w:r>
      <w:r>
        <w:rPr>
          <w:rFonts w:hint="eastAsia"/>
          <w:i/>
          <w:iCs/>
          <w:lang w:val="en-US" w:eastAsia="zh-CN"/>
        </w:rPr>
        <w:t xml:space="preserve"> </w:t>
      </w:r>
      <w:r>
        <w:rPr>
          <w:rFonts w:hint="eastAsia"/>
          <w:i/>
          <w:color w:val="000000" w:themeColor="text1"/>
          <w:lang w:val="en-US" w:eastAsia="zh-CN"/>
          <w14:textFill>
            <w14:solidFill>
              <w14:schemeClr w14:val="tx1"/>
            </w14:solidFill>
          </w14:textFill>
        </w:rPr>
        <w:t xml:space="preserve">in </w:t>
      </w:r>
      <w:r>
        <w:rPr>
          <w:rFonts w:hint="eastAsia"/>
          <w:i/>
          <w:iCs/>
          <w:lang w:val="en-US" w:eastAsia="zh-CN"/>
        </w:rPr>
        <w:t xml:space="preserve">PUCCH-ConfigCommon to </w:t>
      </w:r>
      <w:r>
        <w:rPr>
          <w:rFonts w:hint="eastAsia"/>
          <w:i/>
          <w:color w:val="000000" w:themeColor="text1"/>
          <w:lang w:val="en-US" w:eastAsia="zh-CN"/>
          <w14:textFill>
            <w14:solidFill>
              <w14:schemeClr w14:val="tx1"/>
            </w14:solidFill>
          </w14:textFill>
        </w:rPr>
        <w:t xml:space="preserve">configure number of repetition for PUCCH for Msg4 HARQ-ACK. For example, the RRC parameter can be nrofSlots: ENUMERATED  </w:t>
      </w:r>
      <w:r>
        <w:rPr>
          <w:rFonts w:hint="eastAsia"/>
          <w:i/>
          <w:iCs w:val="0"/>
          <w:lang w:val="en-US" w:eastAsia="zh-CN"/>
        </w:rPr>
        <w:t>{n1, n2, n4, n8}.</w:t>
      </w:r>
    </w:p>
    <w:p>
      <w:pPr>
        <w:rPr>
          <w:rFonts w:hint="default"/>
          <w:lang w:val="en-US" w:eastAsia="zh-CN"/>
        </w:rPr>
      </w:pPr>
    </w:p>
    <w:p>
      <w:pPr>
        <w:rPr>
          <w:rFonts w:hint="default" w:eastAsiaTheme="minorEastAsia"/>
          <w:lang w:val="en-US" w:eastAsia="zh-CN"/>
        </w:rPr>
      </w:pPr>
      <w:r>
        <w:rPr>
          <w:rFonts w:hint="eastAsia"/>
          <w:lang w:val="en-US" w:eastAsia="zh-CN"/>
        </w:rPr>
        <w:t>In each of these slots, PUCCH resource set for Msg4 HARQ-ACK can still use the legacy specifications, i.e.</w:t>
      </w:r>
      <w:r>
        <w:rPr>
          <w:rFonts w:hint="eastAsia"/>
          <w:color w:val="auto"/>
          <w:lang w:val="en-US" w:eastAsia="zh-CN"/>
        </w:rPr>
        <w:t xml:space="preserve"> </w:t>
      </w:r>
      <w:r>
        <w:rPr>
          <w:color w:val="auto"/>
        </w:rPr>
        <w:t xml:space="preserve">PUCCH resource set is provided by </w:t>
      </w:r>
      <w:r>
        <w:rPr>
          <w:i/>
          <w:color w:val="auto"/>
        </w:rPr>
        <w:t>pucch-</w:t>
      </w:r>
      <w:r>
        <w:rPr>
          <w:i/>
          <w:color w:val="auto"/>
          <w:lang w:val="en-US"/>
        </w:rPr>
        <w:t>ResourceCommon</w:t>
      </w:r>
      <w:r>
        <w:rPr>
          <w:color w:val="auto"/>
        </w:rPr>
        <w:t xml:space="preserve"> through </w:t>
      </w:r>
      <w:r>
        <w:rPr>
          <w:color w:val="auto"/>
          <w:lang w:val="en-US"/>
        </w:rPr>
        <w:t xml:space="preserve">an index to a row of Table 9.2.1-1 </w:t>
      </w:r>
      <w:r>
        <w:rPr>
          <w:rFonts w:hint="eastAsia"/>
          <w:color w:val="auto"/>
          <w:lang w:val="en-US" w:eastAsia="zh-CN"/>
        </w:rPr>
        <w:t xml:space="preserve">in </w:t>
      </w:r>
      <w:r>
        <w:rPr>
          <w:rFonts w:hint="eastAsia"/>
          <w:lang w:val="en-US" w:eastAsia="zh-CN"/>
        </w:rPr>
        <w:t xml:space="preserve">TS 38.213 </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3</w:t>
      </w:r>
      <w:r>
        <w:rPr>
          <w:rFonts w:ascii="Times New Roman" w:hAnsi="Times New Roman" w:cs="Times New Roman" w:eastAsiaTheme="minorEastAsia"/>
          <w:sz w:val="22"/>
          <w:szCs w:val="22"/>
          <w:lang w:val="en-GB" w:eastAsia="en-US" w:bidi="ar-SA"/>
        </w:rPr>
        <w:t>]</w:t>
      </w:r>
      <w:r>
        <w:rPr>
          <w:rFonts w:hint="eastAsia" w:cs="Times New Roman"/>
          <w:sz w:val="22"/>
          <w:szCs w:val="22"/>
          <w:lang w:val="en-US" w:eastAsia="zh-CN" w:bidi="ar-SA"/>
        </w:rPr>
        <w:t>, which means there is only one PUCCH repetition in each slot.</w:t>
      </w:r>
    </w:p>
    <w:p>
      <w:pPr>
        <w:rPr>
          <w:rFonts w:hint="eastAsia" w:cs="Times New Roman"/>
          <w:sz w:val="22"/>
          <w:szCs w:val="22"/>
          <w:lang w:val="en-US" w:eastAsia="zh-CN" w:bidi="ar-SA"/>
        </w:rPr>
      </w:pPr>
      <w:r>
        <w:rPr>
          <w:rFonts w:hint="eastAsia"/>
          <w:lang w:val="en-US" w:eastAsia="zh-CN"/>
        </w:rPr>
        <w:t xml:space="preserve">Alternatively, new PUCCH resource set can be specified in </w:t>
      </w:r>
      <w:r>
        <w:rPr>
          <w:color w:val="auto"/>
          <w:lang w:val="en-US"/>
        </w:rPr>
        <w:t xml:space="preserve">Table 9.2.1-1 </w:t>
      </w:r>
      <w:r>
        <w:rPr>
          <w:rFonts w:hint="eastAsia"/>
          <w:color w:val="auto"/>
          <w:lang w:val="en-US" w:eastAsia="zh-CN"/>
        </w:rPr>
        <w:t xml:space="preserve">in </w:t>
      </w:r>
      <w:r>
        <w:rPr>
          <w:rFonts w:hint="eastAsia"/>
          <w:lang w:val="en-US" w:eastAsia="zh-CN"/>
        </w:rPr>
        <w:t>TS 38.213</w:t>
      </w:r>
      <w:bookmarkStart w:id="11" w:name="_GoBack"/>
      <w:bookmarkEnd w:id="11"/>
      <w:r>
        <w:rPr>
          <w:rFonts w:hint="eastAsia" w:cs="Times New Roman"/>
          <w:sz w:val="22"/>
          <w:szCs w:val="22"/>
          <w:lang w:val="en-US" w:eastAsia="zh-CN" w:bidi="ar-SA"/>
        </w:rPr>
        <w:t xml:space="preserve"> to allow multiple PUCCH repetition in each slot. In this case, the total repetition number is the product of the number of slot for repetition and the repetition number within each slot. For example, if number of symbol is 4, then there can be at most 3 PUCCH resources in one slot, as illustrated in the table below.</w:t>
      </w:r>
    </w:p>
    <w:p>
      <w:pPr>
        <w:rPr>
          <w:rFonts w:hint="default" w:cs="Times New Roman"/>
          <w:sz w:val="22"/>
          <w:szCs w:val="22"/>
          <w:lang w:val="en-US" w:eastAsia="zh-CN" w:bidi="ar-SA"/>
        </w:rPr>
      </w:pPr>
    </w:p>
    <w:tbl>
      <w:tblPr>
        <w:tblStyle w:val="2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1382"/>
        <w:gridCol w:w="1383"/>
        <w:gridCol w:w="1383"/>
        <w:gridCol w:w="1383"/>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2" w:type="dxa"/>
          </w:tcPr>
          <w:p>
            <w:pPr>
              <w:widowControl/>
              <w:spacing w:line="360" w:lineRule="auto"/>
              <w:jc w:val="left"/>
              <w:rPr>
                <w:rFonts w:eastAsia="楷体" w:cs="Times New Roman"/>
              </w:rPr>
            </w:pPr>
            <w:r>
              <w:rPr>
                <w:rFonts w:eastAsia="楷体" w:cs="Times New Roman"/>
              </w:rPr>
              <w:t>I</w:t>
            </w:r>
            <w:r>
              <w:rPr>
                <w:rFonts w:hint="eastAsia" w:eastAsia="楷体" w:cs="Times New Roman"/>
              </w:rPr>
              <w:t>ndex</w:t>
            </w:r>
          </w:p>
        </w:tc>
        <w:tc>
          <w:tcPr>
            <w:tcW w:w="1382" w:type="dxa"/>
          </w:tcPr>
          <w:p>
            <w:pPr>
              <w:widowControl/>
              <w:spacing w:line="360" w:lineRule="auto"/>
              <w:jc w:val="left"/>
              <w:rPr>
                <w:rFonts w:eastAsia="楷体" w:cs="Times New Roman"/>
              </w:rPr>
            </w:pPr>
            <w:r>
              <w:rPr>
                <w:rFonts w:hint="eastAsia" w:eastAsia="楷体" w:cs="Times New Roman"/>
              </w:rPr>
              <w:t>PUCCH</w:t>
            </w:r>
            <w:r>
              <w:rPr>
                <w:rFonts w:eastAsia="楷体" w:cs="Times New Roman"/>
              </w:rPr>
              <w:t xml:space="preserve"> </w:t>
            </w:r>
            <w:r>
              <w:rPr>
                <w:rFonts w:hint="eastAsia" w:eastAsia="楷体" w:cs="Times New Roman"/>
              </w:rPr>
              <w:t>format</w:t>
            </w:r>
          </w:p>
        </w:tc>
        <w:tc>
          <w:tcPr>
            <w:tcW w:w="1383" w:type="dxa"/>
          </w:tcPr>
          <w:p>
            <w:pPr>
              <w:widowControl/>
              <w:spacing w:line="360" w:lineRule="auto"/>
              <w:jc w:val="center"/>
              <w:rPr>
                <w:rFonts w:eastAsia="楷体" w:cs="Times New Roman"/>
              </w:rPr>
            </w:pPr>
            <w:r>
              <w:rPr>
                <w:rFonts w:hint="eastAsia" w:eastAsia="楷体" w:cs="Times New Roman"/>
              </w:rPr>
              <w:t>First</w:t>
            </w:r>
            <w:r>
              <w:rPr>
                <w:rFonts w:eastAsia="楷体" w:cs="Times New Roman"/>
              </w:rPr>
              <w:t xml:space="preserve"> </w:t>
            </w:r>
            <w:r>
              <w:rPr>
                <w:rFonts w:hint="eastAsia" w:eastAsia="楷体" w:cs="Times New Roman"/>
              </w:rPr>
              <w:t>symbol</w:t>
            </w:r>
          </w:p>
        </w:tc>
        <w:tc>
          <w:tcPr>
            <w:tcW w:w="1383" w:type="dxa"/>
          </w:tcPr>
          <w:p>
            <w:pPr>
              <w:widowControl/>
              <w:spacing w:line="360" w:lineRule="auto"/>
              <w:jc w:val="left"/>
              <w:rPr>
                <w:rFonts w:eastAsia="楷体" w:cs="Times New Roman"/>
              </w:rPr>
            </w:pPr>
            <w:r>
              <w:rPr>
                <w:rFonts w:hint="eastAsia" w:eastAsia="楷体" w:cs="Times New Roman"/>
              </w:rPr>
              <w:t>Number</w:t>
            </w:r>
            <w:r>
              <w:rPr>
                <w:rFonts w:eastAsia="楷体" w:cs="Times New Roman"/>
              </w:rPr>
              <w:t xml:space="preserve"> </w:t>
            </w:r>
            <w:r>
              <w:rPr>
                <w:rFonts w:hint="eastAsia" w:eastAsia="楷体" w:cs="Times New Roman"/>
              </w:rPr>
              <w:t>of</w:t>
            </w:r>
            <w:r>
              <w:rPr>
                <w:rFonts w:eastAsia="楷体" w:cs="Times New Roman"/>
              </w:rPr>
              <w:t xml:space="preserve"> </w:t>
            </w:r>
            <w:r>
              <w:rPr>
                <w:rFonts w:hint="eastAsia" w:eastAsia="楷体" w:cs="Times New Roman"/>
              </w:rPr>
              <w:t>symbols</w:t>
            </w:r>
          </w:p>
        </w:tc>
        <w:tc>
          <w:tcPr>
            <w:tcW w:w="1383" w:type="dxa"/>
          </w:tcPr>
          <w:p>
            <w:pPr>
              <w:widowControl/>
              <w:spacing w:line="360" w:lineRule="auto"/>
              <w:jc w:val="left"/>
              <w:rPr>
                <w:rFonts w:eastAsia="楷体" w:cs="Times New Roman"/>
              </w:rPr>
            </w:pPr>
            <w:r>
              <w:rPr>
                <w:rFonts w:hint="eastAsia" w:eastAsia="楷体" w:cs="Times New Roman"/>
              </w:rPr>
              <w:t>PRB</w:t>
            </w:r>
            <w:r>
              <w:rPr>
                <w:rFonts w:eastAsia="楷体" w:cs="Times New Roman"/>
              </w:rPr>
              <w:t xml:space="preserve"> offset</w:t>
            </w:r>
          </w:p>
          <w:p>
            <w:pPr>
              <w:widowControl/>
              <w:spacing w:line="360" w:lineRule="auto"/>
              <w:jc w:val="left"/>
              <w:rPr>
                <w:rFonts w:eastAsia="楷体" w:cs="Times New Roman"/>
              </w:rPr>
            </w:pPr>
            <w:r>
              <w:rPr>
                <w:position w:val="-12"/>
              </w:rPr>
              <w:object>
                <v:shape id="_x0000_i1025" o:spt="75" type="#_x0000_t75" style="height:18.95pt;width:35.0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tc>
        <w:tc>
          <w:tcPr>
            <w:tcW w:w="1383" w:type="dxa"/>
          </w:tcPr>
          <w:p>
            <w:pPr>
              <w:widowControl/>
              <w:spacing w:line="360" w:lineRule="auto"/>
              <w:jc w:val="left"/>
              <w:rPr>
                <w:rFonts w:eastAsia="楷体" w:cs="Times New Roman"/>
              </w:rPr>
            </w:pPr>
            <w:r>
              <w:rPr>
                <w:rFonts w:hint="eastAsia" w:eastAsia="楷体" w:cs="Times New Roman"/>
              </w:rPr>
              <w:t>S</w:t>
            </w:r>
            <w:r>
              <w:rPr>
                <w:rFonts w:eastAsia="楷体" w:cs="Times New Roman"/>
              </w:rPr>
              <w:t>et</w:t>
            </w:r>
            <w:r>
              <w:rPr>
                <w:rFonts w:hint="eastAsia" w:eastAsia="楷体" w:cs="Times New Roman"/>
              </w:rPr>
              <w:t xml:space="preserve"> </w:t>
            </w:r>
            <w:r>
              <w:rPr>
                <w:rFonts w:eastAsia="楷体" w:cs="Times New Roman"/>
              </w:rPr>
              <w:t>of</w:t>
            </w:r>
            <w:r>
              <w:rPr>
                <w:rFonts w:hint="eastAsia" w:eastAsia="楷体" w:cs="Times New Roman"/>
              </w:rPr>
              <w:t xml:space="preserve"> </w:t>
            </w:r>
            <w:r>
              <w:rPr>
                <w:rFonts w:eastAsia="楷体" w:cs="Times New Roman"/>
              </w:rPr>
              <w:t>initial</w:t>
            </w:r>
          </w:p>
          <w:p>
            <w:pPr>
              <w:widowControl/>
              <w:spacing w:line="360" w:lineRule="auto"/>
              <w:jc w:val="left"/>
              <w:rPr>
                <w:rFonts w:eastAsia="楷体" w:cs="Times New Roman"/>
              </w:rPr>
            </w:pPr>
            <w:r>
              <w:rPr>
                <w:rFonts w:hint="eastAsia" w:eastAsia="楷体" w:cs="Times New Roman"/>
              </w:rPr>
              <w:t>i</w:t>
            </w:r>
            <w:r>
              <w:rPr>
                <w:rFonts w:eastAsia="楷体" w:cs="Times New Roman"/>
              </w:rPr>
              <w:t>ndexes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2" w:type="dxa"/>
          </w:tcPr>
          <w:p>
            <w:pPr>
              <w:widowControl/>
              <w:spacing w:line="360" w:lineRule="auto"/>
              <w:jc w:val="left"/>
              <w:rPr>
                <w:rFonts w:eastAsia="楷体" w:cs="Times New Roman"/>
              </w:rPr>
            </w:pPr>
            <w:r>
              <w:rPr>
                <w:rFonts w:hint="eastAsia" w:eastAsia="楷体" w:cs="Times New Roman"/>
              </w:rPr>
              <w:t>X</w:t>
            </w:r>
            <w:r>
              <w:rPr>
                <w:rFonts w:eastAsia="楷体" w:cs="Times New Roman"/>
              </w:rPr>
              <w:t>XX</w:t>
            </w:r>
          </w:p>
        </w:tc>
        <w:tc>
          <w:tcPr>
            <w:tcW w:w="1382" w:type="dxa"/>
          </w:tcPr>
          <w:p>
            <w:pPr>
              <w:widowControl/>
              <w:spacing w:line="360" w:lineRule="auto"/>
              <w:jc w:val="left"/>
              <w:rPr>
                <w:rFonts w:eastAsia="楷体" w:cs="Times New Roman"/>
              </w:rPr>
            </w:pPr>
            <w:r>
              <w:rPr>
                <w:rFonts w:hint="eastAsia" w:eastAsia="楷体" w:cs="Times New Roman"/>
              </w:rPr>
              <w:t>1</w:t>
            </w:r>
          </w:p>
        </w:tc>
        <w:tc>
          <w:tcPr>
            <w:tcW w:w="1383" w:type="dxa"/>
          </w:tcPr>
          <w:p>
            <w:pPr>
              <w:widowControl/>
              <w:spacing w:line="360" w:lineRule="auto"/>
              <w:jc w:val="left"/>
              <w:rPr>
                <w:rFonts w:eastAsia="楷体" w:cs="Times New Roman"/>
              </w:rPr>
            </w:pPr>
            <w:r>
              <w:rPr>
                <w:rFonts w:eastAsia="楷体" w:cs="Times New Roman"/>
              </w:rPr>
              <w:t>{</w:t>
            </w:r>
            <w:r>
              <w:rPr>
                <w:rFonts w:hint="eastAsia" w:eastAsia="楷体" w:cs="Times New Roman"/>
              </w:rPr>
              <w:t>0,4,8</w:t>
            </w:r>
            <w:r>
              <w:rPr>
                <w:rFonts w:eastAsia="楷体" w:cs="Times New Roman"/>
              </w:rPr>
              <w:t>}</w:t>
            </w:r>
          </w:p>
        </w:tc>
        <w:tc>
          <w:tcPr>
            <w:tcW w:w="1383" w:type="dxa"/>
          </w:tcPr>
          <w:p>
            <w:pPr>
              <w:widowControl/>
              <w:spacing w:line="360" w:lineRule="auto"/>
              <w:jc w:val="left"/>
              <w:rPr>
                <w:rFonts w:eastAsia="楷体" w:cs="Times New Roman"/>
              </w:rPr>
            </w:pPr>
            <w:r>
              <w:rPr>
                <w:rFonts w:hint="eastAsia" w:eastAsia="楷体" w:cs="Times New Roman"/>
              </w:rPr>
              <w:t>4</w:t>
            </w:r>
          </w:p>
        </w:tc>
        <w:tc>
          <w:tcPr>
            <w:tcW w:w="1383" w:type="dxa"/>
          </w:tcPr>
          <w:p>
            <w:pPr>
              <w:widowControl/>
              <w:spacing w:line="360" w:lineRule="auto"/>
              <w:jc w:val="left"/>
              <w:rPr>
                <w:rFonts w:eastAsia="楷体" w:cs="Times New Roman"/>
              </w:rPr>
            </w:pPr>
            <w:r>
              <w:rPr>
                <w:rFonts w:hint="eastAsia" w:eastAsia="楷体" w:cs="Times New Roman"/>
              </w:rPr>
              <w:t>X</w:t>
            </w:r>
            <w:r>
              <w:rPr>
                <w:rFonts w:eastAsia="楷体" w:cs="Times New Roman"/>
              </w:rPr>
              <w:t>XX</w:t>
            </w:r>
          </w:p>
        </w:tc>
        <w:tc>
          <w:tcPr>
            <w:tcW w:w="1383" w:type="dxa"/>
          </w:tcPr>
          <w:p>
            <w:pPr>
              <w:widowControl/>
              <w:spacing w:line="360" w:lineRule="auto"/>
              <w:jc w:val="left"/>
              <w:rPr>
                <w:rFonts w:eastAsia="楷体" w:cs="Times New Roman"/>
              </w:rPr>
            </w:pPr>
            <w:r>
              <w:rPr>
                <w:rFonts w:hint="eastAsia" w:eastAsia="楷体" w:cs="Times New Roman"/>
              </w:rPr>
              <w:t>X</w:t>
            </w:r>
            <w:r>
              <w:rPr>
                <w:rFonts w:eastAsia="楷体" w:cs="Times New Roman"/>
              </w:rPr>
              <w:t>XX</w:t>
            </w:r>
          </w:p>
        </w:tc>
      </w:tr>
    </w:tbl>
    <w:p>
      <w:pPr>
        <w:jc w:val="center"/>
        <w:rPr>
          <w:rFonts w:hint="default"/>
          <w:lang w:val="en-US" w:eastAsia="zh-CN"/>
        </w:rPr>
      </w:pPr>
    </w:p>
    <w:p>
      <w:pPr>
        <w:rPr>
          <w:rFonts w:hint="default"/>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3</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Specify new PUCCH resource set to allow multiple PUCCH repetition within slot</w:t>
      </w:r>
      <w:r>
        <w:rPr>
          <w:rFonts w:hint="eastAsia"/>
          <w:i/>
          <w:iCs w:val="0"/>
          <w:lang w:val="en-US" w:eastAsia="zh-CN"/>
        </w:rPr>
        <w:t>. (Optional)</w:t>
      </w:r>
    </w:p>
    <w:p>
      <w:pPr>
        <w:rPr>
          <w:rFonts w:hint="default"/>
          <w:lang w:val="en-US" w:eastAsia="zh-CN"/>
        </w:rPr>
      </w:pPr>
    </w:p>
    <w:p>
      <w:pPr>
        <w:rPr>
          <w:rFonts w:hint="eastAsia"/>
          <w:lang w:val="en-US" w:eastAsia="zh-CN"/>
        </w:rPr>
      </w:pPr>
      <w:r>
        <w:rPr>
          <w:rFonts w:hint="eastAsia"/>
          <w:lang w:val="en-US" w:eastAsia="zh-CN"/>
        </w:rPr>
        <w:t>UE with different path loss may need different number of repetition for Msg4 HARQ-ACK. RRC configuration can not meet this requirement. Therefore, dynamic indication for a UE</w:t>
      </w:r>
      <w:r>
        <w:rPr>
          <w:rFonts w:hint="default"/>
          <w:lang w:val="en-US" w:eastAsia="zh-CN"/>
        </w:rPr>
        <w:t>’</w:t>
      </w:r>
      <w:r>
        <w:rPr>
          <w:rFonts w:hint="eastAsia"/>
          <w:lang w:val="en-US" w:eastAsia="zh-CN"/>
        </w:rPr>
        <w:t>s number of repetition for PUCCH for Msg4 HARQ-ACK is also needed. The dynamic indication can be carried by the DCI which schedules the Msg4 and Msg4 HARQ-ACK.</w:t>
      </w:r>
    </w:p>
    <w:p>
      <w:pPr>
        <w:rPr>
          <w:rFonts w:hint="eastAsia"/>
          <w:lang w:val="en-US" w:eastAsia="zh-CN"/>
        </w:rPr>
      </w:pPr>
    </w:p>
    <w:p>
      <w:pPr>
        <w:rPr>
          <w:rFonts w:hint="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4</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Specify a dynamic indication for the repetition number of PUCCH for Msg4 HARQ-ACK.</w:t>
      </w:r>
    </w:p>
    <w:p>
      <w:pPr>
        <w:rPr>
          <w:rFonts w:hint="default"/>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5</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 xml:space="preserve">Include </w:t>
      </w:r>
      <w:r>
        <w:rPr>
          <w:rFonts w:hint="eastAsia"/>
          <w:b w:val="0"/>
          <w:bCs/>
          <w:i/>
          <w:color w:val="000000" w:themeColor="text1"/>
          <w:lang w:val="en-US" w:eastAsia="zh-CN"/>
          <w14:textFill>
            <w14:solidFill>
              <w14:schemeClr w14:val="tx1"/>
            </w14:solidFill>
          </w14:textFill>
        </w:rPr>
        <w:t xml:space="preserve">a </w:t>
      </w:r>
      <w:r>
        <w:rPr>
          <w:rFonts w:hint="eastAsia"/>
          <w:i/>
          <w:color w:val="000000" w:themeColor="text1"/>
          <w:lang w:val="en-US" w:eastAsia="zh-CN"/>
          <w14:textFill>
            <w14:solidFill>
              <w14:schemeClr w14:val="tx1"/>
            </w14:solidFill>
          </w14:textFill>
        </w:rPr>
        <w:t>repetition number indication field in the DCI that schedules the PUCCH for Msg4 HARQ-ACK.</w:t>
      </w:r>
    </w:p>
    <w:p>
      <w:pPr>
        <w:rPr>
          <w:rFonts w:hint="eastAsia"/>
          <w:i/>
          <w:color w:val="000000" w:themeColor="text1"/>
          <w:lang w:val="en-US" w:eastAsia="zh-CN"/>
          <w14:textFill>
            <w14:solidFill>
              <w14:schemeClr w14:val="tx1"/>
            </w14:solidFill>
          </w14:textFill>
        </w:rPr>
      </w:pPr>
    </w:p>
    <w:p>
      <w:pPr>
        <w:rPr>
          <w:rFonts w:hint="default"/>
          <w:i w:val="0"/>
          <w:iCs/>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One side effect of repetition should be considered: With repetition, Msg4 HARQ-ACK will cost more time.Therefore time domain resource may have heavy burden, and thus capacity is reduced. To counter this side effect on capacity, new method for frequency domain allocation should be taken.</w:t>
      </w:r>
    </w:p>
    <w:p>
      <w:pPr>
        <w:rPr>
          <w:rFonts w:hint="eastAsia"/>
          <w:i w:val="0"/>
          <w:iCs/>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For example, different UE can use different PUCCH resources in frequency domain, so that the capacity can be increased, as illustrated in the figure below.</w:t>
      </w:r>
    </w:p>
    <w:p>
      <w:pPr>
        <w:rPr>
          <w:rFonts w:hint="default"/>
          <w:i w:val="0"/>
          <w:iCs/>
          <w:color w:val="000000" w:themeColor="text1"/>
          <w:lang w:val="en-US" w:eastAsia="zh-CN"/>
          <w14:textFill>
            <w14:solidFill>
              <w14:schemeClr w14:val="tx1"/>
            </w14:solidFill>
          </w14:textFill>
        </w:rPr>
      </w:pPr>
      <w:r>
        <w:drawing>
          <wp:inline distT="0" distB="0" distL="114300" distR="114300">
            <wp:extent cx="5914390" cy="2533015"/>
            <wp:effectExtent l="0" t="0" r="13970" b="12065"/>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8"/>
                    <a:stretch>
                      <a:fillRect/>
                    </a:stretch>
                  </pic:blipFill>
                  <pic:spPr>
                    <a:xfrm>
                      <a:off x="0" y="0"/>
                      <a:ext cx="5914390" cy="2533015"/>
                    </a:xfrm>
                    <a:prstGeom prst="rect">
                      <a:avLst/>
                    </a:prstGeom>
                    <a:noFill/>
                    <a:ln>
                      <a:noFill/>
                    </a:ln>
                  </pic:spPr>
                </pic:pic>
              </a:graphicData>
            </a:graphic>
          </wp:inline>
        </w:drawing>
      </w:r>
    </w:p>
    <w:p>
      <w:pPr>
        <w:rPr>
          <w:rFonts w:hint="eastAsia"/>
          <w:i w:val="0"/>
          <w:iCs/>
          <w:color w:val="000000" w:themeColor="text1"/>
          <w:lang w:val="en-US" w:eastAsia="zh-CN"/>
          <w14:textFill>
            <w14:solidFill>
              <w14:schemeClr w14:val="tx1"/>
            </w14:solidFill>
          </w14:textFill>
        </w:rPr>
      </w:pPr>
    </w:p>
    <w:p>
      <w:pPr>
        <w:rPr>
          <w:rFonts w:hint="eastAsia"/>
          <w:i w:val="0"/>
          <w:iCs/>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To achieve this goal, frequency domain position (e.g. PRB offset) should be indicated to the UE respectively. The indication can be included in the DCI scheduling Msg4 and Msg4 HARQ-ACK.</w:t>
      </w:r>
    </w:p>
    <w:p>
      <w:pPr>
        <w:rPr>
          <w:rFonts w:hint="eastAsia"/>
          <w:i w:val="0"/>
          <w:iCs/>
          <w:color w:val="000000" w:themeColor="text1"/>
          <w:lang w:val="en-US" w:eastAsia="zh-CN"/>
          <w14:textFill>
            <w14:solidFill>
              <w14:schemeClr w14:val="tx1"/>
            </w14:solidFill>
          </w14:textFill>
        </w:rPr>
      </w:pPr>
    </w:p>
    <w:p>
      <w:pPr>
        <w:rPr>
          <w:rFonts w:hint="default"/>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6</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 To improve capacity, specify a dynamic PRB offset indication for PUCCH for Msg4 HARQ-ACK so that different UE can occupy different PUCCH resources in frequency domain. The mechanism should be able to cover the case of non-frequency hopping, and  frequency hopping as well (FFS).</w:t>
      </w:r>
    </w:p>
    <w:p>
      <w:pPr>
        <w:rPr>
          <w:rFonts w:hint="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7</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Use</w:t>
      </w:r>
      <w:r>
        <w:rPr>
          <w:rFonts w:hint="eastAsia"/>
          <w:b w:val="0"/>
          <w:bCs/>
          <w:i/>
          <w:color w:val="000000" w:themeColor="text1"/>
          <w:lang w:val="en-US" w:eastAsia="zh-CN"/>
          <w14:textFill>
            <w14:solidFill>
              <w14:schemeClr w14:val="tx1"/>
            </w14:solidFill>
          </w14:textFill>
        </w:rPr>
        <w:t xml:space="preserve"> a </w:t>
      </w:r>
      <w:r>
        <w:rPr>
          <w:rFonts w:hint="eastAsia"/>
          <w:i/>
          <w:color w:val="000000" w:themeColor="text1"/>
          <w:lang w:val="en-US" w:eastAsia="zh-CN"/>
          <w14:textFill>
            <w14:solidFill>
              <w14:schemeClr w14:val="tx1"/>
            </w14:solidFill>
          </w14:textFill>
        </w:rPr>
        <w:t xml:space="preserve">PRB offset indication in the DCI that schedules the PUCCH for Msg4 HARQ-ACK to reduce interference between UEs and improve capacity. </w:t>
      </w:r>
    </w:p>
    <w:p>
      <w:pPr>
        <w:rPr>
          <w:rFonts w:hint="eastAsia"/>
          <w:i/>
          <w:color w:val="000000" w:themeColor="text1"/>
          <w:lang w:val="en-US" w:eastAsia="zh-CN"/>
          <w14:textFill>
            <w14:solidFill>
              <w14:schemeClr w14:val="tx1"/>
            </w14:solidFill>
          </w14:textFill>
        </w:rPr>
      </w:pPr>
      <w:r>
        <w:rPr>
          <w:rFonts w:hint="eastAsia"/>
          <w:i/>
          <w:color w:val="000000" w:themeColor="text1"/>
          <w:lang w:val="en-US" w:eastAsia="zh-CN"/>
          <w14:textFill>
            <w14:solidFill>
              <w14:schemeClr w14:val="tx1"/>
            </w14:solidFill>
          </w14:textFill>
        </w:rPr>
        <w:br w:type="page"/>
      </w:r>
    </w:p>
    <w:p>
      <w:pPr>
        <w:rPr>
          <w:rFonts w:hint="eastAsia"/>
          <w:i/>
          <w:color w:val="000000" w:themeColor="text1"/>
          <w:lang w:val="en-US" w:eastAsia="zh-CN"/>
          <w14:textFill>
            <w14:solidFill>
              <w14:schemeClr w14:val="tx1"/>
            </w14:solidFill>
          </w14:textFill>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 xml:space="preserve">2.2 DMRS bundling for PUSCH </w:t>
      </w:r>
    </w:p>
    <w:p>
      <w:pPr>
        <w:rPr>
          <w:rFonts w:hint="eastAsia"/>
          <w:i/>
          <w:color w:val="000000" w:themeColor="text1"/>
          <w:lang w:val="en-US" w:eastAsia="zh-CN"/>
          <w14:textFill>
            <w14:solidFill>
              <w14:schemeClr w14:val="tx1"/>
            </w14:solidFill>
          </w14:textFill>
        </w:rPr>
      </w:pPr>
    </w:p>
    <w:p>
      <w:pPr>
        <w:rPr>
          <w:rFonts w:hint="default"/>
          <w:i w:val="0"/>
          <w:iCs/>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As observed by RAN1 #110, DMRS bundling can improve the performance of repetition. But frequency hopping may make DMRS bundling difficult. In the case of frequency hopping, we believe it would be good to allow long consistency in frequency. A configuration parameter for frequency hopping interval may help to get the benefit from both DMRS bundling and frequency hopping. Frequency hopping can only happen with the interval, and frequency hopping is not allowed within the interval. The figure below shows an example, in which frequency hopping interval is 2 slots, and DMRS bundling can be done for every two continuous slots during the repetition.</w:t>
      </w:r>
    </w:p>
    <w:p>
      <w:pPr>
        <w:rPr>
          <w:rFonts w:hint="eastAsia"/>
          <w:i w:val="0"/>
          <w:iCs/>
          <w:color w:val="000000" w:themeColor="text1"/>
          <w:lang w:val="en-US" w:eastAsia="zh-CN"/>
          <w14:textFill>
            <w14:solidFill>
              <w14:schemeClr w14:val="tx1"/>
            </w14:solidFill>
          </w14:textFill>
        </w:rPr>
      </w:pPr>
      <w:r>
        <w:drawing>
          <wp:inline distT="0" distB="0" distL="114300" distR="114300">
            <wp:extent cx="5463540" cy="1333500"/>
            <wp:effectExtent l="0" t="0" r="7620" b="762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9"/>
                    <a:stretch>
                      <a:fillRect/>
                    </a:stretch>
                  </pic:blipFill>
                  <pic:spPr>
                    <a:xfrm>
                      <a:off x="0" y="0"/>
                      <a:ext cx="5463540" cy="1333500"/>
                    </a:xfrm>
                    <a:prstGeom prst="rect">
                      <a:avLst/>
                    </a:prstGeom>
                    <a:noFill/>
                    <a:ln>
                      <a:noFill/>
                    </a:ln>
                  </pic:spPr>
                </pic:pic>
              </a:graphicData>
            </a:graphic>
          </wp:inline>
        </w:drawing>
      </w:r>
    </w:p>
    <w:p>
      <w:pPr>
        <w:rPr>
          <w:rFonts w:hint="default"/>
          <w:i w:val="0"/>
          <w:iCs/>
          <w:color w:val="000000" w:themeColor="text1"/>
          <w:lang w:val="en-US" w:eastAsia="zh-CN"/>
          <w14:textFill>
            <w14:solidFill>
              <w14:schemeClr w14:val="tx1"/>
            </w14:solidFill>
          </w14:textFill>
        </w:rPr>
      </w:pPr>
    </w:p>
    <w:p>
      <w:pPr>
        <w:rPr>
          <w:rFonts w:hint="default"/>
          <w:i w:val="0"/>
          <w:iCs/>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Observation3</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 xml:space="preserve">Frequency hopping has a negative effect on DMRS bundling because it breaks the consistency in the frequency domain. </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8</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For the benefit of DMRS bundling, configure a frequency hopping interval. Frequency hopping does not happen within each interval so that DMRS bundling can be adopted for each interval.</w:t>
      </w:r>
    </w:p>
    <w:p>
      <w:pPr>
        <w:rPr>
          <w:rFonts w:hint="eastAsia"/>
          <w:i w:val="0"/>
          <w:iCs/>
          <w:color w:val="000000" w:themeColor="text1"/>
          <w:lang w:val="en-US" w:eastAsia="zh-CN"/>
          <w14:textFill>
            <w14:solidFill>
              <w14:schemeClr w14:val="tx1"/>
            </w14:solidFill>
          </w14:textFill>
        </w:rPr>
      </w:pPr>
    </w:p>
    <w:p>
      <w:pPr>
        <w:rPr>
          <w:rFonts w:hint="default"/>
          <w:i w:val="0"/>
          <w:iCs/>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In addition, we believe that benefit of DMRS bundling for PUSCH can also be applied to PUCCH.</w:t>
      </w:r>
    </w:p>
    <w:p>
      <w:pPr>
        <w:rPr>
          <w:rFonts w:hint="default"/>
          <w:i/>
          <w:iCs w:val="0"/>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9</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val="0"/>
          <w:color w:val="000000" w:themeColor="text1"/>
          <w:lang w:val="en-US" w:eastAsia="zh-CN"/>
          <w14:textFill>
            <w14:solidFill>
              <w14:schemeClr w14:val="tx1"/>
            </w14:solidFill>
          </w14:textFill>
        </w:rPr>
        <w:t>Benefit of DMRS bundling for PUSCH can also be applied to PUCCH.</w:t>
      </w:r>
    </w:p>
    <w:p>
      <w:pPr>
        <w:rPr>
          <w:rFonts w:hint="eastAsia"/>
          <w:i/>
          <w:color w:val="000000" w:themeColor="text1"/>
          <w:lang w:val="en-US" w:eastAsia="zh-CN"/>
          <w14:textFill>
            <w14:solidFill>
              <w14:schemeClr w14:val="tx1"/>
            </w14:solidFill>
          </w14:textFill>
        </w:rPr>
      </w:pPr>
    </w:p>
    <w:p>
      <w:pPr>
        <w:rPr>
          <w:rFonts w:hint="default"/>
          <w:i/>
          <w:color w:val="000000" w:themeColor="text1"/>
          <w:lang w:val="en-US" w:eastAsia="zh-CN"/>
          <w14:textFill>
            <w14:solidFill>
              <w14:schemeClr w14:val="tx1"/>
            </w14:solidFill>
          </w14:textFill>
        </w:rPr>
      </w:pPr>
    </w:p>
    <w:p>
      <w:p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br w:type="page"/>
      </w:r>
    </w:p>
    <w:p>
      <w:pPr>
        <w:rPr>
          <w:i/>
          <w:color w:val="000000" w:themeColor="text1"/>
          <w:lang w:eastAsia="zh-CN"/>
          <w14:textFill>
            <w14:solidFill>
              <w14:schemeClr w14:val="tx1"/>
            </w14:solidFill>
          </w14:textFill>
        </w:rPr>
      </w:pPr>
    </w:p>
    <w:p>
      <w:pPr>
        <w:pStyle w:val="2"/>
        <w:numPr>
          <w:ilvl w:val="0"/>
          <w:numId w:val="0"/>
        </w:numPr>
        <w:jc w:val="both"/>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3. </w:t>
      </w:r>
      <w:r>
        <w:rPr>
          <w:rFonts w:eastAsiaTheme="minorEastAsia"/>
          <w:color w:val="000000" w:themeColor="text1"/>
          <w:lang w:eastAsia="zh-CN"/>
          <w14:textFill>
            <w14:solidFill>
              <w14:schemeClr w14:val="tx1"/>
            </w14:solidFill>
          </w14:textFill>
        </w:rPr>
        <w:t>Conclusions</w:t>
      </w:r>
    </w:p>
    <w:p>
      <w:pPr>
        <w:rPr>
          <w:rFonts w:hint="default"/>
          <w:lang w:val="en-US" w:eastAsia="zh-CN"/>
        </w:rPr>
      </w:pPr>
    </w:p>
    <w:p>
      <w:pPr>
        <w:rPr>
          <w:rFonts w:hint="eastAsia"/>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1</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C</w:t>
      </w:r>
      <w:r>
        <w:rPr>
          <w:rFonts w:hint="eastAsia"/>
          <w:i/>
          <w:color w:val="000000" w:themeColor="text1"/>
          <w:lang w:val="en-US" w:eastAsia="zh-CN"/>
          <w14:textFill>
            <w14:solidFill>
              <w14:schemeClr w14:val="tx1"/>
            </w14:solidFill>
          </w14:textFill>
        </w:rPr>
        <w:t>ell-specific PUCCH resources/parameters are used for Msg4 HARQ-ACK in Rel-17.</w:t>
      </w:r>
    </w:p>
    <w:p>
      <w:pPr>
        <w:rPr>
          <w:rFonts w:hint="default"/>
          <w:i/>
          <w:color w:val="000000" w:themeColor="text1"/>
          <w:lang w:val="en-US" w:eastAsia="zh-CN"/>
          <w14:textFill>
            <w14:solidFill>
              <w14:schemeClr w14:val="tx1"/>
            </w14:solidFill>
          </w14:textFill>
        </w:rPr>
      </w:pPr>
      <w:r>
        <w:rPr>
          <w:b/>
          <w:i/>
          <w:color w:val="000000" w:themeColor="text1"/>
          <w:lang w:eastAsia="zh-CN"/>
          <w14:textFill>
            <w14:solidFill>
              <w14:schemeClr w14:val="tx1"/>
            </w14:solidFill>
          </w14:textFill>
        </w:rPr>
        <w:t xml:space="preserve">Observation </w:t>
      </w:r>
      <w:r>
        <w:rPr>
          <w:rFonts w:hint="eastAsia"/>
          <w:b/>
          <w:i/>
          <w:color w:val="000000" w:themeColor="text1"/>
          <w:lang w:val="en-US" w:eastAsia="zh-CN"/>
          <w14:textFill>
            <w14:solidFill>
              <w14:schemeClr w14:val="tx1"/>
            </w14:solidFill>
          </w14:textFill>
        </w:rPr>
        <w:t>2</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PUCCH repetition is not supported for the case of Msg4 HARQ-ACK in Rel-17.</w:t>
      </w:r>
    </w:p>
    <w:p>
      <w:pPr>
        <w:rPr>
          <w:rFonts w:hint="eastAsia"/>
          <w:sz w:val="22"/>
          <w:szCs w:val="22"/>
          <w:lang w:val="en-US" w:eastAsia="zh-CN"/>
        </w:rPr>
      </w:pPr>
      <w:r>
        <w:rPr>
          <w:rFonts w:hint="eastAsia"/>
          <w:b/>
          <w:i/>
          <w:color w:val="000000" w:themeColor="text1"/>
          <w:lang w:val="en-US" w:eastAsia="zh-CN"/>
          <w14:textFill>
            <w14:solidFill>
              <w14:schemeClr w14:val="tx1"/>
            </w14:solidFill>
          </w14:textFill>
        </w:rPr>
        <w:t>Proposal 1</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For NTN coverage enhancement in Rel-18, support PUCCH repetition for Msg4 HARQ-ACK.</w:t>
      </w:r>
    </w:p>
    <w:p>
      <w:pPr>
        <w:rPr>
          <w:rFonts w:hint="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2</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Repetition number for PUCCH for Msg4 HARQ-ACK can be configured to the PHY layer by a RRC parameter. </w:t>
      </w:r>
    </w:p>
    <w:p>
      <w:pPr>
        <w:rPr>
          <w:rFonts w:hint="default"/>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3</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Add a new RRC parameter</w:t>
      </w:r>
      <w:r>
        <w:rPr>
          <w:rFonts w:hint="eastAsia"/>
          <w:i/>
          <w:iCs/>
          <w:lang w:val="en-US" w:eastAsia="zh-CN"/>
        </w:rPr>
        <w:t xml:space="preserve"> </w:t>
      </w:r>
      <w:r>
        <w:rPr>
          <w:rFonts w:hint="eastAsia"/>
          <w:i/>
          <w:color w:val="000000" w:themeColor="text1"/>
          <w:lang w:val="en-US" w:eastAsia="zh-CN"/>
          <w14:textFill>
            <w14:solidFill>
              <w14:schemeClr w14:val="tx1"/>
            </w14:solidFill>
          </w14:textFill>
        </w:rPr>
        <w:t xml:space="preserve">in </w:t>
      </w:r>
      <w:r>
        <w:rPr>
          <w:rFonts w:hint="eastAsia"/>
          <w:i/>
          <w:iCs/>
          <w:lang w:val="en-US" w:eastAsia="zh-CN"/>
        </w:rPr>
        <w:t xml:space="preserve">PUCCH-ConfigCommon to </w:t>
      </w:r>
      <w:r>
        <w:rPr>
          <w:rFonts w:hint="eastAsia"/>
          <w:i/>
          <w:color w:val="000000" w:themeColor="text1"/>
          <w:lang w:val="en-US" w:eastAsia="zh-CN"/>
          <w14:textFill>
            <w14:solidFill>
              <w14:schemeClr w14:val="tx1"/>
            </w14:solidFill>
          </w14:textFill>
        </w:rPr>
        <w:t xml:space="preserve">configure repetition number for PUCCH for Msg4 HARQ-ACK. For example, the RRC parameter can be nrofSlots ENUMERATED  </w:t>
      </w:r>
      <w:r>
        <w:rPr>
          <w:rFonts w:hint="eastAsia"/>
          <w:i/>
          <w:iCs w:val="0"/>
          <w:lang w:val="en-US" w:eastAsia="zh-CN"/>
        </w:rPr>
        <w:t>{n1, n2, n4, n8}.</w:t>
      </w:r>
    </w:p>
    <w:p>
      <w:pPr>
        <w:rPr>
          <w:rFonts w:hint="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4</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Specify a dynamic indication for the repetition number of PUCCH for Msg4 HARQ-ACK.</w:t>
      </w:r>
    </w:p>
    <w:p>
      <w:pPr>
        <w:rPr>
          <w:rFonts w:hint="default"/>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5</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 xml:space="preserve">Include </w:t>
      </w:r>
      <w:r>
        <w:rPr>
          <w:rFonts w:hint="eastAsia"/>
          <w:b w:val="0"/>
          <w:bCs/>
          <w:i/>
          <w:color w:val="000000" w:themeColor="text1"/>
          <w:lang w:val="en-US" w:eastAsia="zh-CN"/>
          <w14:textFill>
            <w14:solidFill>
              <w14:schemeClr w14:val="tx1"/>
            </w14:solidFill>
          </w14:textFill>
        </w:rPr>
        <w:t xml:space="preserve">a </w:t>
      </w:r>
      <w:r>
        <w:rPr>
          <w:rFonts w:hint="eastAsia"/>
          <w:i/>
          <w:color w:val="000000" w:themeColor="text1"/>
          <w:lang w:val="en-US" w:eastAsia="zh-CN"/>
          <w14:textFill>
            <w14:solidFill>
              <w14:schemeClr w14:val="tx1"/>
            </w14:solidFill>
          </w14:textFill>
        </w:rPr>
        <w:t>repetition number indication field in the DCI that schedules the PUCCH for Msg4 HARQ-ACK.</w:t>
      </w:r>
    </w:p>
    <w:p>
      <w:pPr>
        <w:rPr>
          <w:rFonts w:hint="default"/>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6</w:t>
      </w:r>
      <w:r>
        <w:rPr>
          <w:b/>
          <w:i/>
          <w:color w:val="000000" w:themeColor="text1"/>
          <w:lang w:eastAsia="zh-CN"/>
          <w14:textFill>
            <w14:solidFill>
              <w14:schemeClr w14:val="tx1"/>
            </w14:solidFill>
          </w14:textFill>
        </w:rPr>
        <w:t>:</w:t>
      </w:r>
      <w:r>
        <w:rPr>
          <w:i/>
          <w:color w:val="000000" w:themeColor="text1"/>
          <w:lang w:eastAsia="zh-CN"/>
          <w14:textFill>
            <w14:solidFill>
              <w14:schemeClr w14:val="tx1"/>
            </w14:solidFill>
          </w14:textFill>
        </w:rPr>
        <w:t xml:space="preserve"> </w:t>
      </w:r>
      <w:r>
        <w:rPr>
          <w:rFonts w:hint="eastAsia"/>
          <w:i/>
          <w:color w:val="000000" w:themeColor="text1"/>
          <w:lang w:val="en-US" w:eastAsia="zh-CN"/>
          <w14:textFill>
            <w14:solidFill>
              <w14:schemeClr w14:val="tx1"/>
            </w14:solidFill>
          </w14:textFill>
        </w:rPr>
        <w:t xml:space="preserve"> To improve capacity, specify a dynamic PRB offset indication for PUCCH for Msg4 HARQ-ACK so that different UE can occupy different PUCCH resources in frequency domain. The mechanism should be able to cover the case of non-frequency hopping, and  frequency hopping as well (FFS).</w:t>
      </w:r>
    </w:p>
    <w:p>
      <w:pPr>
        <w:rPr>
          <w:rFonts w:hint="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7</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Use</w:t>
      </w:r>
      <w:r>
        <w:rPr>
          <w:rFonts w:hint="eastAsia"/>
          <w:b w:val="0"/>
          <w:bCs/>
          <w:i/>
          <w:color w:val="000000" w:themeColor="text1"/>
          <w:lang w:val="en-US" w:eastAsia="zh-CN"/>
          <w14:textFill>
            <w14:solidFill>
              <w14:schemeClr w14:val="tx1"/>
            </w14:solidFill>
          </w14:textFill>
        </w:rPr>
        <w:t xml:space="preserve"> a </w:t>
      </w:r>
      <w:r>
        <w:rPr>
          <w:rFonts w:hint="eastAsia"/>
          <w:i/>
          <w:color w:val="000000" w:themeColor="text1"/>
          <w:lang w:val="en-US" w:eastAsia="zh-CN"/>
          <w14:textFill>
            <w14:solidFill>
              <w14:schemeClr w14:val="tx1"/>
            </w14:solidFill>
          </w14:textFill>
        </w:rPr>
        <w:t xml:space="preserve">PRB offset indication in the DCI that schedules the PUCCH for Msg4 HARQ-ACK to reduce interference between UEs and improve capacity. </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Observation3</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 xml:space="preserve">Frequency hopping has a negative effect on DMRS bundling because it breaks the consistency in the frequency domain. </w:t>
      </w:r>
    </w:p>
    <w:p>
      <w:pPr>
        <w:rPr>
          <w:rFonts w:hint="default"/>
          <w:i w:val="0"/>
          <w:iCs/>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8</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b w:val="0"/>
          <w:bCs/>
          <w:i/>
          <w:color w:val="000000" w:themeColor="text1"/>
          <w:lang w:val="en-US" w:eastAsia="zh-CN"/>
          <w14:textFill>
            <w14:solidFill>
              <w14:schemeClr w14:val="tx1"/>
            </w14:solidFill>
          </w14:textFill>
        </w:rPr>
        <w:t>For the benefit of DMRS bundling, configure a frequency hopping interval. Frequency hopping does not happen within each interval so that DMRS bundling can be adopted for each interval.</w:t>
      </w:r>
    </w:p>
    <w:p>
      <w:pPr>
        <w:rPr>
          <w:rFonts w:hint="default"/>
          <w:i/>
          <w:iCs w:val="0"/>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9</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val="0"/>
          <w:color w:val="000000" w:themeColor="text1"/>
          <w:lang w:val="en-US" w:eastAsia="zh-CN"/>
          <w14:textFill>
            <w14:solidFill>
              <w14:schemeClr w14:val="tx1"/>
            </w14:solidFill>
          </w14:textFill>
        </w:rPr>
        <w:t>Benefit of DMRS bundling for PUSCH can also be applied to PUCCH.</w:t>
      </w:r>
    </w:p>
    <w:p>
      <w:p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br w:type="page"/>
      </w:r>
    </w:p>
    <w:p>
      <w:pPr>
        <w:rPr>
          <w:i/>
          <w:color w:val="000000" w:themeColor="text1"/>
          <w:lang w:eastAsia="zh-CN"/>
          <w14:textFill>
            <w14:solidFill>
              <w14:schemeClr w14:val="tx1"/>
            </w14:solidFill>
          </w14:textFill>
        </w:rPr>
      </w:pPr>
    </w:p>
    <w:p>
      <w:pPr>
        <w:pStyle w:val="2"/>
        <w:tabs>
          <w:tab w:val="left" w:pos="720"/>
        </w:tabs>
        <w:ind w:left="432" w:hanging="432"/>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References</w:t>
      </w:r>
    </w:p>
    <w:p>
      <w:pPr>
        <w:pStyle w:val="38"/>
        <w:snapToGrid w:val="0"/>
        <w:spacing w:after="60"/>
        <w:rPr>
          <w:sz w:val="22"/>
          <w:szCs w:val="22"/>
        </w:rPr>
      </w:pPr>
      <w:bookmarkStart w:id="6" w:name="_Ref20487234"/>
      <w:bookmarkStart w:id="7" w:name="_Ref51937982"/>
      <w:bookmarkStart w:id="8" w:name="_Ref525819223"/>
      <w:bookmarkStart w:id="9" w:name="_Ref30583942"/>
      <w:r>
        <w:rPr>
          <w:rFonts w:hint="eastAsia"/>
          <w:sz w:val="22"/>
          <w:szCs w:val="22"/>
          <w:lang w:eastAsia="zh-CN"/>
        </w:rPr>
        <w:t>R1-2208269</w:t>
      </w:r>
      <w:r>
        <w:rPr>
          <w:rFonts w:hint="eastAsia"/>
          <w:sz w:val="22"/>
          <w:szCs w:val="22"/>
          <w:lang w:val="en-US" w:eastAsia="zh-CN"/>
        </w:rPr>
        <w:t xml:space="preserve">, </w:t>
      </w:r>
      <w:r>
        <w:rPr>
          <w:rFonts w:hint="eastAsia"/>
          <w:sz w:val="22"/>
          <w:szCs w:val="22"/>
          <w:lang w:eastAsia="zh-CN"/>
        </w:rPr>
        <w:t>Summary #6 for 9.12.1 Coverage enhancement for NR NTN</w:t>
      </w:r>
      <w:r>
        <w:rPr>
          <w:rFonts w:hint="eastAsia"/>
          <w:sz w:val="22"/>
          <w:szCs w:val="22"/>
          <w:lang w:val="en-US" w:eastAsia="zh-CN"/>
        </w:rPr>
        <w:t>.</w:t>
      </w:r>
    </w:p>
    <w:bookmarkEnd w:id="2"/>
    <w:bookmarkEnd w:id="3"/>
    <w:bookmarkEnd w:id="4"/>
    <w:bookmarkEnd w:id="6"/>
    <w:bookmarkEnd w:id="7"/>
    <w:bookmarkEnd w:id="8"/>
    <w:bookmarkEnd w:id="9"/>
    <w:p>
      <w:pPr>
        <w:pStyle w:val="38"/>
        <w:snapToGrid w:val="0"/>
        <w:spacing w:after="60"/>
        <w:rPr>
          <w:sz w:val="22"/>
          <w:szCs w:val="22"/>
        </w:rPr>
      </w:pPr>
      <w:r>
        <w:rPr>
          <w:rFonts w:hint="eastAsia"/>
          <w:sz w:val="22"/>
          <w:szCs w:val="22"/>
        </w:rPr>
        <w:t>RP-222654</w:t>
      </w:r>
      <w:r>
        <w:rPr>
          <w:rFonts w:hint="eastAsia"/>
          <w:sz w:val="22"/>
          <w:szCs w:val="22"/>
          <w:lang w:val="en-US" w:eastAsia="zh-CN"/>
        </w:rPr>
        <w:t>,</w:t>
      </w:r>
      <w:r>
        <w:rPr>
          <w:rFonts w:hint="eastAsia"/>
          <w:sz w:val="22"/>
          <w:szCs w:val="22"/>
        </w:rPr>
        <w:t xml:space="preserve"> R18 WID NR_NTN_enh_v09_Moderator</w:t>
      </w:r>
      <w:r>
        <w:rPr>
          <w:rFonts w:hint="eastAsia"/>
          <w:sz w:val="22"/>
          <w:szCs w:val="22"/>
          <w:lang w:val="en-US" w:eastAsia="zh-CN"/>
        </w:rPr>
        <w:t>.</w:t>
      </w:r>
    </w:p>
    <w:p>
      <w:pPr>
        <w:pStyle w:val="38"/>
        <w:snapToGrid w:val="0"/>
        <w:spacing w:after="60"/>
        <w:rPr>
          <w:sz w:val="22"/>
          <w:szCs w:val="22"/>
        </w:rPr>
      </w:pPr>
      <w:r>
        <w:rPr>
          <w:rFonts w:hint="eastAsia"/>
          <w:sz w:val="22"/>
          <w:szCs w:val="22"/>
        </w:rPr>
        <w:t>3GPP TS 38.2</w:t>
      </w:r>
      <w:r>
        <w:rPr>
          <w:rFonts w:hint="eastAsia"/>
          <w:sz w:val="22"/>
          <w:szCs w:val="22"/>
          <w:lang w:val="en-US" w:eastAsia="zh-CN"/>
        </w:rPr>
        <w:t xml:space="preserve">13, </w:t>
      </w:r>
      <w:r>
        <w:rPr>
          <w:rFonts w:hint="eastAsia"/>
          <w:sz w:val="22"/>
          <w:szCs w:val="22"/>
        </w:rPr>
        <w:t>NR; Physical layer procedures for control (Release 17)</w:t>
      </w:r>
      <w:r>
        <w:rPr>
          <w:rFonts w:hint="eastAsia"/>
          <w:sz w:val="22"/>
          <w:szCs w:val="22"/>
          <w:lang w:val="en-US" w:eastAsia="zh-CN"/>
        </w:rPr>
        <w:t>.</w:t>
      </w:r>
    </w:p>
    <w:p>
      <w:pPr>
        <w:pStyle w:val="38"/>
        <w:snapToGrid w:val="0"/>
        <w:spacing w:after="60"/>
        <w:rPr>
          <w:sz w:val="22"/>
          <w:szCs w:val="22"/>
        </w:rPr>
      </w:pPr>
      <w:r>
        <w:rPr>
          <w:rFonts w:hint="eastAsia"/>
          <w:sz w:val="22"/>
          <w:szCs w:val="22"/>
        </w:rPr>
        <w:t>3GPP TS 38.</w:t>
      </w:r>
      <w:r>
        <w:rPr>
          <w:rFonts w:hint="eastAsia"/>
          <w:sz w:val="22"/>
          <w:szCs w:val="22"/>
          <w:lang w:val="en-US" w:eastAsia="zh-CN"/>
        </w:rPr>
        <w:t xml:space="preserve">331, </w:t>
      </w:r>
      <w:r>
        <w:rPr>
          <w:rFonts w:hint="eastAsia"/>
          <w:sz w:val="22"/>
          <w:szCs w:val="22"/>
        </w:rPr>
        <w:t>NR; Radio Resource Control (RRC) protocol specification (Release 17)</w:t>
      </w:r>
      <w:r>
        <w:rPr>
          <w:rFonts w:hint="eastAsia"/>
          <w:sz w:val="22"/>
          <w:szCs w:val="22"/>
          <w:lang w:val="en-US" w:eastAsia="zh-CN"/>
        </w:rPr>
        <w:t>.</w:t>
      </w:r>
    </w:p>
    <w:p>
      <w:pPr>
        <w:pStyle w:val="38"/>
        <w:widowControl/>
        <w:numPr>
          <w:ilvl w:val="0"/>
          <w:numId w:val="0"/>
        </w:numPr>
        <w:autoSpaceDE w:val="0"/>
        <w:autoSpaceDN w:val="0"/>
        <w:adjustRightInd/>
        <w:snapToGrid w:val="0"/>
        <w:spacing w:after="60" w:line="240" w:lineRule="auto"/>
        <w:jc w:val="both"/>
        <w:rPr>
          <w:rFonts w:hint="eastAsia"/>
          <w:sz w:val="22"/>
          <w:szCs w:val="22"/>
          <w:lang w:val="en-US" w:eastAsia="zh-CN"/>
        </w:rPr>
      </w:pPr>
    </w:p>
    <w:p>
      <w:pPr>
        <w:pStyle w:val="38"/>
        <w:widowControl/>
        <w:numPr>
          <w:ilvl w:val="0"/>
          <w:numId w:val="0"/>
        </w:numPr>
        <w:autoSpaceDE w:val="0"/>
        <w:autoSpaceDN w:val="0"/>
        <w:adjustRightInd/>
        <w:snapToGrid w:val="0"/>
        <w:spacing w:after="60" w:line="240" w:lineRule="auto"/>
        <w:jc w:val="both"/>
        <w:rPr>
          <w:rFonts w:hint="eastAsia"/>
          <w:sz w:val="22"/>
          <w:szCs w:val="22"/>
          <w:lang w:val="en-US" w:eastAsia="zh-CN"/>
        </w:rPr>
      </w:pPr>
    </w:p>
    <w:p>
      <w:pPr>
        <w:pStyle w:val="38"/>
        <w:widowControl/>
        <w:numPr>
          <w:ilvl w:val="0"/>
          <w:numId w:val="0"/>
        </w:numPr>
        <w:autoSpaceDE w:val="0"/>
        <w:autoSpaceDN w:val="0"/>
        <w:adjustRightInd/>
        <w:snapToGrid w:val="0"/>
        <w:spacing w:after="60" w:line="240" w:lineRule="auto"/>
        <w:jc w:val="both"/>
        <w:rPr>
          <w:rFonts w:hint="eastAsia"/>
          <w:sz w:val="22"/>
          <w:szCs w:val="22"/>
          <w:lang w:val="en-US" w:eastAsia="zh-CN"/>
        </w:rPr>
      </w:pPr>
    </w:p>
    <w:p>
      <w:pPr>
        <w:pStyle w:val="38"/>
        <w:widowControl/>
        <w:numPr>
          <w:ilvl w:val="0"/>
          <w:numId w:val="0"/>
        </w:numPr>
        <w:autoSpaceDE w:val="0"/>
        <w:autoSpaceDN w:val="0"/>
        <w:adjustRightInd/>
        <w:snapToGrid w:val="0"/>
        <w:spacing w:after="60" w:line="240" w:lineRule="auto"/>
        <w:jc w:val="both"/>
        <w:rPr>
          <w:rFonts w:hint="eastAsia"/>
          <w:sz w:val="22"/>
          <w:szCs w:val="22"/>
          <w:lang w:val="en-US" w:eastAsia="zh-CN"/>
        </w:rPr>
      </w:pPr>
    </w:p>
    <w:p>
      <w:pPr>
        <w:pStyle w:val="38"/>
        <w:widowControl/>
        <w:numPr>
          <w:ilvl w:val="0"/>
          <w:numId w:val="0"/>
        </w:numPr>
        <w:autoSpaceDE w:val="0"/>
        <w:autoSpaceDN w:val="0"/>
        <w:adjustRightInd/>
        <w:snapToGrid w:val="0"/>
        <w:spacing w:after="60" w:line="240" w:lineRule="auto"/>
        <w:jc w:val="both"/>
        <w:rPr>
          <w:rFonts w:hint="eastAsia"/>
          <w:sz w:val="22"/>
          <w:szCs w:val="22"/>
          <w:lang w:val="en-US" w:eastAsia="zh-CN"/>
        </w:rPr>
      </w:pPr>
    </w:p>
    <w:p>
      <w:pPr>
        <w:pStyle w:val="38"/>
        <w:widowControl/>
        <w:numPr>
          <w:ilvl w:val="0"/>
          <w:numId w:val="0"/>
        </w:numPr>
        <w:autoSpaceDE w:val="0"/>
        <w:autoSpaceDN w:val="0"/>
        <w:adjustRightInd/>
        <w:snapToGrid w:val="0"/>
        <w:spacing w:after="60" w:line="240" w:lineRule="auto"/>
        <w:jc w:val="both"/>
        <w:rPr>
          <w:rFonts w:hint="eastAsia"/>
          <w:sz w:val="22"/>
          <w:szCs w:val="22"/>
          <w:lang w:val="en-US" w:eastAsia="zh-CN"/>
        </w:rPr>
      </w:pPr>
    </w:p>
    <w:p>
      <w:pPr>
        <w:rPr>
          <w:sz w:val="22"/>
          <w:szCs w:val="22"/>
        </w:rPr>
      </w:pPr>
      <w:r>
        <w:rPr>
          <w:sz w:val="22"/>
          <w:szCs w:val="22"/>
        </w:rPr>
        <w:br w:type="page"/>
      </w:r>
    </w:p>
    <w:p>
      <w:pPr>
        <w:pStyle w:val="38"/>
        <w:widowControl/>
        <w:numPr>
          <w:ilvl w:val="0"/>
          <w:numId w:val="0"/>
        </w:numPr>
        <w:autoSpaceDE w:val="0"/>
        <w:autoSpaceDN w:val="0"/>
        <w:adjustRightInd/>
        <w:snapToGrid w:val="0"/>
        <w:spacing w:after="60" w:line="240" w:lineRule="auto"/>
        <w:jc w:val="both"/>
        <w:rPr>
          <w:sz w:val="22"/>
          <w:szCs w:val="22"/>
        </w:rPr>
      </w:pPr>
    </w:p>
    <w:p>
      <w:pPr>
        <w:pStyle w:val="11"/>
        <w:rPr>
          <w:rFonts w:eastAsia="Calibri"/>
        </w:rPr>
      </w:pPr>
    </w:p>
    <w:sectPr>
      <w:pgSz w:w="11906" w:h="16838"/>
      <w:pgMar w:top="1440" w:right="1151" w:bottom="1440" w:left="144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Microsoft YaHei UI">
    <w:altName w:val="汉仪书宋二KW"/>
    <w:panose1 w:val="020B0503020204020204"/>
    <w:charset w:val="86"/>
    <w:family w:val="swiss"/>
    <w:pitch w:val="default"/>
    <w:sig w:usb0="00000000" w:usb1="00000000" w:usb2="00000016" w:usb3="00000000" w:csb0="0004001F" w:csb1="00000000"/>
  </w:font>
  <w:font w:name="Malgun Gothic">
    <w:altName w:val="汉仪书宋二KW"/>
    <w:panose1 w:val="020B0503020000020004"/>
    <w:charset w:val="81"/>
    <w:family w:val="swiss"/>
    <w:pitch w:val="default"/>
    <w:sig w:usb0="00000000" w:usb1="00000000" w:usb2="00000012" w:usb3="00000000" w:csb0="00080001" w:csb1="00000000"/>
  </w:font>
  <w:font w:name="Batang">
    <w:altName w:val="汉仪书宋二KW"/>
    <w:panose1 w:val="02030600000101010101"/>
    <w:charset w:val="81"/>
    <w:family w:val="auto"/>
    <w:pitch w:val="default"/>
    <w:sig w:usb0="00000000" w:usb1="00000000" w:usb2="00000030" w:usb3="00000000" w:csb0="4008009F" w:csb1="DFD70000"/>
  </w:font>
  <w:font w:name="MS Mincho">
    <w:altName w:val="汉仪书宋二KW"/>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游ゴシック">
    <w:altName w:val="汉仪书宋二KW"/>
    <w:panose1 w:val="020B0400000000000000"/>
    <w:charset w:val="80"/>
    <w:family w:val="modern"/>
    <w:pitch w:val="default"/>
    <w:sig w:usb0="00000000" w:usb1="00000000" w:usb2="00000016" w:usb3="00000000" w:csb0="0002009F" w:csb1="00000000"/>
  </w:font>
  <w:font w:name="等线">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0000000" w:usb3="00000000" w:csb0="2000019F" w:csb1="00000000"/>
  </w:font>
  <w:font w:name="楷体">
    <w:altName w:val="汉仪楷体KW"/>
    <w:panose1 w:val="02010609060101010101"/>
    <w:charset w:val="86"/>
    <w:family w:val="auto"/>
    <w:pitch w:val="default"/>
    <w:sig w:usb0="00000000" w:usb1="00000000" w:usb2="00000016" w:usb3="00000000" w:csb0="00040001" w:csb1="00000000"/>
  </w:font>
  <w:font w:name="Kingsoft Math">
    <w:panose1 w:val="02040503050406030204"/>
    <w:charset w:val="00"/>
    <w:family w:val="auto"/>
    <w:pitch w:val="default"/>
    <w:sig w:usb0="80000087" w:usb1="00002068" w:usb2="00000000" w:usb3="00000000" w:csb0="2000019F" w:csb1="00000000"/>
  </w:font>
  <w:font w:name="Noto Sans Symbols2">
    <w:panose1 w:val="020B0502040504020204"/>
    <w:charset w:val="00"/>
    <w:family w:val="auto"/>
    <w:pitch w:val="default"/>
    <w:sig w:usb0="80000003" w:usb1="0200E3E4" w:usb2="00040020" w:usb3="0580A048" w:csb0="00000001" w:csb1="00000000"/>
  </w:font>
  <w:font w:name="汉仪中等线KW">
    <w:panose1 w:val="01010104010101010101"/>
    <w:charset w:val="86"/>
    <w:family w:val="auto"/>
    <w:pitch w:val="default"/>
    <w:sig w:usb0="800002BF" w:usb1="004F7CFA" w:usb2="00000000" w:usb3="00000000" w:csb0="00040001" w:csb1="00000000"/>
  </w:font>
  <w:font w:name="汉仪楷体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C4C5476"/>
    <w:multiLevelType w:val="multilevel"/>
    <w:tmpl w:val="1C4C54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3">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dhYjczOWYwYTg5NzI1MGJlNWVjZTU4MDQ4MmI4NmU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25D5"/>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51AA"/>
    <w:rsid w:val="012D2F0D"/>
    <w:rsid w:val="01435D3B"/>
    <w:rsid w:val="015754F6"/>
    <w:rsid w:val="016054B8"/>
    <w:rsid w:val="01AE6BC6"/>
    <w:rsid w:val="01BE664F"/>
    <w:rsid w:val="01E4322D"/>
    <w:rsid w:val="01F126DB"/>
    <w:rsid w:val="020857B1"/>
    <w:rsid w:val="02581886"/>
    <w:rsid w:val="0272604C"/>
    <w:rsid w:val="028D5673"/>
    <w:rsid w:val="02954528"/>
    <w:rsid w:val="03045209"/>
    <w:rsid w:val="036068E4"/>
    <w:rsid w:val="036A7762"/>
    <w:rsid w:val="03773C2D"/>
    <w:rsid w:val="037B371D"/>
    <w:rsid w:val="037E1843"/>
    <w:rsid w:val="03906A9D"/>
    <w:rsid w:val="03A04F32"/>
    <w:rsid w:val="03FF60FC"/>
    <w:rsid w:val="04523A3A"/>
    <w:rsid w:val="0462668B"/>
    <w:rsid w:val="04657F2A"/>
    <w:rsid w:val="04703CFB"/>
    <w:rsid w:val="04A503F1"/>
    <w:rsid w:val="04C410F4"/>
    <w:rsid w:val="04D035F5"/>
    <w:rsid w:val="04FC263C"/>
    <w:rsid w:val="04FC5974"/>
    <w:rsid w:val="05570C31"/>
    <w:rsid w:val="05C75209"/>
    <w:rsid w:val="064E6EC7"/>
    <w:rsid w:val="06787243"/>
    <w:rsid w:val="06C669CE"/>
    <w:rsid w:val="07723089"/>
    <w:rsid w:val="07FA7CB6"/>
    <w:rsid w:val="08144B81"/>
    <w:rsid w:val="08251EAA"/>
    <w:rsid w:val="082617B1"/>
    <w:rsid w:val="083420ED"/>
    <w:rsid w:val="083F677E"/>
    <w:rsid w:val="087B4212"/>
    <w:rsid w:val="08846234"/>
    <w:rsid w:val="089F30DB"/>
    <w:rsid w:val="08A440E9"/>
    <w:rsid w:val="08C711B3"/>
    <w:rsid w:val="08DD6D78"/>
    <w:rsid w:val="09856EFE"/>
    <w:rsid w:val="099077F7"/>
    <w:rsid w:val="0A27197D"/>
    <w:rsid w:val="0A523F38"/>
    <w:rsid w:val="0A8F7AAE"/>
    <w:rsid w:val="0AA63168"/>
    <w:rsid w:val="0AB063A2"/>
    <w:rsid w:val="0AD019C3"/>
    <w:rsid w:val="0ADC2AE1"/>
    <w:rsid w:val="0AE0030A"/>
    <w:rsid w:val="0AE90761"/>
    <w:rsid w:val="0B0E05DE"/>
    <w:rsid w:val="0B276013"/>
    <w:rsid w:val="0B30303F"/>
    <w:rsid w:val="0B5F6B9F"/>
    <w:rsid w:val="0B723658"/>
    <w:rsid w:val="0BA47589"/>
    <w:rsid w:val="0BD4735B"/>
    <w:rsid w:val="0C430B50"/>
    <w:rsid w:val="0C707B9E"/>
    <w:rsid w:val="0C786F0E"/>
    <w:rsid w:val="0C8C0749"/>
    <w:rsid w:val="0C906AC6"/>
    <w:rsid w:val="0C9F42C1"/>
    <w:rsid w:val="0CA830A9"/>
    <w:rsid w:val="0CB96C11"/>
    <w:rsid w:val="0CE045F1"/>
    <w:rsid w:val="0CFD51A3"/>
    <w:rsid w:val="0D066A0A"/>
    <w:rsid w:val="0D22409D"/>
    <w:rsid w:val="0D474670"/>
    <w:rsid w:val="0D6B4803"/>
    <w:rsid w:val="0D6D6B8C"/>
    <w:rsid w:val="0D7C07BE"/>
    <w:rsid w:val="0D9C5BE4"/>
    <w:rsid w:val="0DE10621"/>
    <w:rsid w:val="0DF02F5A"/>
    <w:rsid w:val="0DFE53E4"/>
    <w:rsid w:val="0E0D58BA"/>
    <w:rsid w:val="0E325320"/>
    <w:rsid w:val="0E3B201A"/>
    <w:rsid w:val="0EEF106E"/>
    <w:rsid w:val="0EF80C90"/>
    <w:rsid w:val="0F0729FA"/>
    <w:rsid w:val="0F0A5D32"/>
    <w:rsid w:val="0F1401B8"/>
    <w:rsid w:val="0F2033CB"/>
    <w:rsid w:val="0F64775C"/>
    <w:rsid w:val="0FA3307A"/>
    <w:rsid w:val="104430E9"/>
    <w:rsid w:val="106043C7"/>
    <w:rsid w:val="1080556E"/>
    <w:rsid w:val="10A24245"/>
    <w:rsid w:val="10F644F5"/>
    <w:rsid w:val="10F7015B"/>
    <w:rsid w:val="11427629"/>
    <w:rsid w:val="11475BE9"/>
    <w:rsid w:val="114E421F"/>
    <w:rsid w:val="117268E9"/>
    <w:rsid w:val="118E286E"/>
    <w:rsid w:val="11BF2051"/>
    <w:rsid w:val="11F32DBF"/>
    <w:rsid w:val="12287477"/>
    <w:rsid w:val="129F6752"/>
    <w:rsid w:val="12B10F0A"/>
    <w:rsid w:val="12CD4B5B"/>
    <w:rsid w:val="12E36BE9"/>
    <w:rsid w:val="12F454FE"/>
    <w:rsid w:val="130354DD"/>
    <w:rsid w:val="1343554A"/>
    <w:rsid w:val="13535599"/>
    <w:rsid w:val="138A13ED"/>
    <w:rsid w:val="13DD5D2E"/>
    <w:rsid w:val="142E65C5"/>
    <w:rsid w:val="148B307D"/>
    <w:rsid w:val="14CC100A"/>
    <w:rsid w:val="14F90946"/>
    <w:rsid w:val="14F926F4"/>
    <w:rsid w:val="15042FE5"/>
    <w:rsid w:val="15150AFB"/>
    <w:rsid w:val="15410CDB"/>
    <w:rsid w:val="154E5BF2"/>
    <w:rsid w:val="159D7523"/>
    <w:rsid w:val="15E75C04"/>
    <w:rsid w:val="16360D8E"/>
    <w:rsid w:val="16614100"/>
    <w:rsid w:val="17013AE2"/>
    <w:rsid w:val="170D44B6"/>
    <w:rsid w:val="17285CB9"/>
    <w:rsid w:val="17361246"/>
    <w:rsid w:val="1739327C"/>
    <w:rsid w:val="176A0554"/>
    <w:rsid w:val="176B3A35"/>
    <w:rsid w:val="17714A14"/>
    <w:rsid w:val="17A96653"/>
    <w:rsid w:val="17C0399D"/>
    <w:rsid w:val="17EA5768"/>
    <w:rsid w:val="18263BF8"/>
    <w:rsid w:val="18B22CF4"/>
    <w:rsid w:val="19677CA2"/>
    <w:rsid w:val="197B7B7C"/>
    <w:rsid w:val="1A626F8D"/>
    <w:rsid w:val="1A664C6F"/>
    <w:rsid w:val="1A6B244B"/>
    <w:rsid w:val="1A8218AD"/>
    <w:rsid w:val="1A951111"/>
    <w:rsid w:val="1B11697C"/>
    <w:rsid w:val="1BF81957"/>
    <w:rsid w:val="1C00080C"/>
    <w:rsid w:val="1C2D4336"/>
    <w:rsid w:val="1C705992"/>
    <w:rsid w:val="1C73253C"/>
    <w:rsid w:val="1C8B27CB"/>
    <w:rsid w:val="1CC33AE8"/>
    <w:rsid w:val="1CFD70E6"/>
    <w:rsid w:val="1D503559"/>
    <w:rsid w:val="1D884F5D"/>
    <w:rsid w:val="1DB55626"/>
    <w:rsid w:val="1DBA2C3C"/>
    <w:rsid w:val="1DD95CC8"/>
    <w:rsid w:val="1DDA0B2E"/>
    <w:rsid w:val="1E214A6A"/>
    <w:rsid w:val="1E2C508A"/>
    <w:rsid w:val="1E656BE9"/>
    <w:rsid w:val="1EA731C1"/>
    <w:rsid w:val="1EA96ECE"/>
    <w:rsid w:val="1EDB6F74"/>
    <w:rsid w:val="1EE23B1C"/>
    <w:rsid w:val="1EE404B5"/>
    <w:rsid w:val="201C5A4A"/>
    <w:rsid w:val="201E3957"/>
    <w:rsid w:val="203D18F5"/>
    <w:rsid w:val="204D5FEA"/>
    <w:rsid w:val="208726F8"/>
    <w:rsid w:val="20952209"/>
    <w:rsid w:val="20C515FE"/>
    <w:rsid w:val="20E57FD0"/>
    <w:rsid w:val="20EE5E5A"/>
    <w:rsid w:val="210F17D2"/>
    <w:rsid w:val="211C6F9B"/>
    <w:rsid w:val="21E9245D"/>
    <w:rsid w:val="2209080D"/>
    <w:rsid w:val="2210107D"/>
    <w:rsid w:val="22243A6D"/>
    <w:rsid w:val="222F1E4B"/>
    <w:rsid w:val="224A7763"/>
    <w:rsid w:val="225E0A1A"/>
    <w:rsid w:val="22714212"/>
    <w:rsid w:val="22CA6694"/>
    <w:rsid w:val="231D4A50"/>
    <w:rsid w:val="2366189C"/>
    <w:rsid w:val="241E5CD3"/>
    <w:rsid w:val="24666791"/>
    <w:rsid w:val="246D0A09"/>
    <w:rsid w:val="24857B00"/>
    <w:rsid w:val="24F86524"/>
    <w:rsid w:val="24FD5883"/>
    <w:rsid w:val="25093735"/>
    <w:rsid w:val="2575607E"/>
    <w:rsid w:val="25787665"/>
    <w:rsid w:val="25814783"/>
    <w:rsid w:val="25B3069D"/>
    <w:rsid w:val="25D23219"/>
    <w:rsid w:val="25F83CB4"/>
    <w:rsid w:val="26414F23"/>
    <w:rsid w:val="26486E0F"/>
    <w:rsid w:val="2657371E"/>
    <w:rsid w:val="2657536F"/>
    <w:rsid w:val="26630E46"/>
    <w:rsid w:val="26C708A4"/>
    <w:rsid w:val="271C3B12"/>
    <w:rsid w:val="272F1FA5"/>
    <w:rsid w:val="277100F0"/>
    <w:rsid w:val="278F5E80"/>
    <w:rsid w:val="27A847BE"/>
    <w:rsid w:val="27B64475"/>
    <w:rsid w:val="27BC1756"/>
    <w:rsid w:val="27EC317E"/>
    <w:rsid w:val="27EC522A"/>
    <w:rsid w:val="27F8683B"/>
    <w:rsid w:val="28645F38"/>
    <w:rsid w:val="287649E1"/>
    <w:rsid w:val="28885E11"/>
    <w:rsid w:val="28D65624"/>
    <w:rsid w:val="292562A2"/>
    <w:rsid w:val="29393990"/>
    <w:rsid w:val="29487555"/>
    <w:rsid w:val="29923554"/>
    <w:rsid w:val="29982084"/>
    <w:rsid w:val="29F33A8B"/>
    <w:rsid w:val="2A2D3B67"/>
    <w:rsid w:val="2A8E6FB6"/>
    <w:rsid w:val="2ACD2201"/>
    <w:rsid w:val="2B0521C7"/>
    <w:rsid w:val="2B110340"/>
    <w:rsid w:val="2B1A2E38"/>
    <w:rsid w:val="2B204A27"/>
    <w:rsid w:val="2B5005A4"/>
    <w:rsid w:val="2B940F71"/>
    <w:rsid w:val="2BA525BE"/>
    <w:rsid w:val="2BA72DA3"/>
    <w:rsid w:val="2BB67139"/>
    <w:rsid w:val="2BBA4352"/>
    <w:rsid w:val="2BC846F6"/>
    <w:rsid w:val="2C5F50DB"/>
    <w:rsid w:val="2C7F1990"/>
    <w:rsid w:val="2C815051"/>
    <w:rsid w:val="2C943483"/>
    <w:rsid w:val="2CA62D0A"/>
    <w:rsid w:val="2CBB70BA"/>
    <w:rsid w:val="2D090A00"/>
    <w:rsid w:val="2D1063D5"/>
    <w:rsid w:val="2D320A41"/>
    <w:rsid w:val="2D6B4704"/>
    <w:rsid w:val="2D8C3C8C"/>
    <w:rsid w:val="2D9F156A"/>
    <w:rsid w:val="2E786212"/>
    <w:rsid w:val="2E9277C0"/>
    <w:rsid w:val="2E9848D4"/>
    <w:rsid w:val="2F401543"/>
    <w:rsid w:val="2FC13E2A"/>
    <w:rsid w:val="30360C34"/>
    <w:rsid w:val="304772F5"/>
    <w:rsid w:val="30933502"/>
    <w:rsid w:val="30B55C11"/>
    <w:rsid w:val="30B96137"/>
    <w:rsid w:val="30CD50F5"/>
    <w:rsid w:val="31224929"/>
    <w:rsid w:val="31263EA0"/>
    <w:rsid w:val="31542076"/>
    <w:rsid w:val="31697021"/>
    <w:rsid w:val="31D200FD"/>
    <w:rsid w:val="31F654CE"/>
    <w:rsid w:val="321E78CC"/>
    <w:rsid w:val="32496611"/>
    <w:rsid w:val="324C0BC5"/>
    <w:rsid w:val="32696CB3"/>
    <w:rsid w:val="327F701C"/>
    <w:rsid w:val="32CF7E2D"/>
    <w:rsid w:val="32EB1476"/>
    <w:rsid w:val="33977850"/>
    <w:rsid w:val="339B54BA"/>
    <w:rsid w:val="33C61E67"/>
    <w:rsid w:val="34600FED"/>
    <w:rsid w:val="346559BF"/>
    <w:rsid w:val="349667E8"/>
    <w:rsid w:val="35700877"/>
    <w:rsid w:val="358B329D"/>
    <w:rsid w:val="35C622A1"/>
    <w:rsid w:val="364041CF"/>
    <w:rsid w:val="36415851"/>
    <w:rsid w:val="366C0B20"/>
    <w:rsid w:val="371B60A2"/>
    <w:rsid w:val="378B1619"/>
    <w:rsid w:val="37AF2FDC"/>
    <w:rsid w:val="37D050DF"/>
    <w:rsid w:val="37D526F5"/>
    <w:rsid w:val="37F477AA"/>
    <w:rsid w:val="380F1449"/>
    <w:rsid w:val="38196A86"/>
    <w:rsid w:val="382F0355"/>
    <w:rsid w:val="383E025E"/>
    <w:rsid w:val="384E2E24"/>
    <w:rsid w:val="386A5533"/>
    <w:rsid w:val="387A58E0"/>
    <w:rsid w:val="38902F85"/>
    <w:rsid w:val="389F7DD9"/>
    <w:rsid w:val="38AC78FA"/>
    <w:rsid w:val="38B602E1"/>
    <w:rsid w:val="38DB4F4E"/>
    <w:rsid w:val="393A4F06"/>
    <w:rsid w:val="395C2149"/>
    <w:rsid w:val="3A053765"/>
    <w:rsid w:val="3A080B60"/>
    <w:rsid w:val="3ABC194A"/>
    <w:rsid w:val="3AE03A42"/>
    <w:rsid w:val="3B141786"/>
    <w:rsid w:val="3B190B4B"/>
    <w:rsid w:val="3B38482F"/>
    <w:rsid w:val="3B4B164C"/>
    <w:rsid w:val="3B586CDD"/>
    <w:rsid w:val="3BA76821"/>
    <w:rsid w:val="3BFC1A65"/>
    <w:rsid w:val="3C057A30"/>
    <w:rsid w:val="3C1313FC"/>
    <w:rsid w:val="3C34724E"/>
    <w:rsid w:val="3C631BAA"/>
    <w:rsid w:val="3C8C0310"/>
    <w:rsid w:val="3C8F5568"/>
    <w:rsid w:val="3CB52AF5"/>
    <w:rsid w:val="3CD305C6"/>
    <w:rsid w:val="3CDC5C48"/>
    <w:rsid w:val="3CFC0DE3"/>
    <w:rsid w:val="3D246A6D"/>
    <w:rsid w:val="3D7B5AED"/>
    <w:rsid w:val="3D905786"/>
    <w:rsid w:val="3DD1395F"/>
    <w:rsid w:val="3E3A0996"/>
    <w:rsid w:val="3E467EA9"/>
    <w:rsid w:val="3E611186"/>
    <w:rsid w:val="3E784624"/>
    <w:rsid w:val="3ED33A18"/>
    <w:rsid w:val="3EE37DED"/>
    <w:rsid w:val="3EEA2F2A"/>
    <w:rsid w:val="3F536D21"/>
    <w:rsid w:val="3FB157F6"/>
    <w:rsid w:val="402031A4"/>
    <w:rsid w:val="402B1A4C"/>
    <w:rsid w:val="40510EE6"/>
    <w:rsid w:val="405373A7"/>
    <w:rsid w:val="40754A75"/>
    <w:rsid w:val="408A7D9E"/>
    <w:rsid w:val="40B21825"/>
    <w:rsid w:val="40C536CD"/>
    <w:rsid w:val="40C854ED"/>
    <w:rsid w:val="40CB216B"/>
    <w:rsid w:val="40FE2CBD"/>
    <w:rsid w:val="410C1B65"/>
    <w:rsid w:val="410D2F00"/>
    <w:rsid w:val="415E2D32"/>
    <w:rsid w:val="4177539E"/>
    <w:rsid w:val="41782A6F"/>
    <w:rsid w:val="41812964"/>
    <w:rsid w:val="41A24857"/>
    <w:rsid w:val="41AF045B"/>
    <w:rsid w:val="41C820D8"/>
    <w:rsid w:val="41C932CA"/>
    <w:rsid w:val="421F2EEA"/>
    <w:rsid w:val="4246491B"/>
    <w:rsid w:val="426A68EA"/>
    <w:rsid w:val="43210EE4"/>
    <w:rsid w:val="43326C4D"/>
    <w:rsid w:val="4366330F"/>
    <w:rsid w:val="43943464"/>
    <w:rsid w:val="439A2D2C"/>
    <w:rsid w:val="439D0364"/>
    <w:rsid w:val="43D23F8D"/>
    <w:rsid w:val="43FB7987"/>
    <w:rsid w:val="442944F4"/>
    <w:rsid w:val="443A0618"/>
    <w:rsid w:val="44431087"/>
    <w:rsid w:val="447D039C"/>
    <w:rsid w:val="44896D41"/>
    <w:rsid w:val="449201B8"/>
    <w:rsid w:val="44AC2D8E"/>
    <w:rsid w:val="44FA73AF"/>
    <w:rsid w:val="44FC7D16"/>
    <w:rsid w:val="450A1C4F"/>
    <w:rsid w:val="451F3201"/>
    <w:rsid w:val="45621FA6"/>
    <w:rsid w:val="45A04342"/>
    <w:rsid w:val="45C407F8"/>
    <w:rsid w:val="45C67B21"/>
    <w:rsid w:val="461B60BF"/>
    <w:rsid w:val="46496788"/>
    <w:rsid w:val="46507129"/>
    <w:rsid w:val="466730B2"/>
    <w:rsid w:val="469525E8"/>
    <w:rsid w:val="46C202E8"/>
    <w:rsid w:val="46C70011"/>
    <w:rsid w:val="46E464B1"/>
    <w:rsid w:val="47360322"/>
    <w:rsid w:val="47413A10"/>
    <w:rsid w:val="47507FEA"/>
    <w:rsid w:val="47573126"/>
    <w:rsid w:val="475F2724"/>
    <w:rsid w:val="47BE31A6"/>
    <w:rsid w:val="47E0136E"/>
    <w:rsid w:val="47E349BA"/>
    <w:rsid w:val="484C07B1"/>
    <w:rsid w:val="484C6A03"/>
    <w:rsid w:val="485A5426"/>
    <w:rsid w:val="48653621"/>
    <w:rsid w:val="48657AC5"/>
    <w:rsid w:val="48BB02CE"/>
    <w:rsid w:val="48E572C4"/>
    <w:rsid w:val="48EC3D42"/>
    <w:rsid w:val="48F055E1"/>
    <w:rsid w:val="49320998"/>
    <w:rsid w:val="496057F3"/>
    <w:rsid w:val="49747FC0"/>
    <w:rsid w:val="498E4D8A"/>
    <w:rsid w:val="499F0DB5"/>
    <w:rsid w:val="49A613B6"/>
    <w:rsid w:val="4A0B5DF4"/>
    <w:rsid w:val="4A282B58"/>
    <w:rsid w:val="4A82467E"/>
    <w:rsid w:val="4B247E30"/>
    <w:rsid w:val="4B614574"/>
    <w:rsid w:val="4B7A5635"/>
    <w:rsid w:val="4B9366F7"/>
    <w:rsid w:val="4BA601D9"/>
    <w:rsid w:val="4BF93791"/>
    <w:rsid w:val="4C8A7AFA"/>
    <w:rsid w:val="4CAE574C"/>
    <w:rsid w:val="4CBF726A"/>
    <w:rsid w:val="4CEE62DB"/>
    <w:rsid w:val="4D1906D8"/>
    <w:rsid w:val="4D242D6A"/>
    <w:rsid w:val="4D4F5150"/>
    <w:rsid w:val="4D8B58D8"/>
    <w:rsid w:val="4DCB3F26"/>
    <w:rsid w:val="4DE73303"/>
    <w:rsid w:val="4DF3347D"/>
    <w:rsid w:val="4E8B0A28"/>
    <w:rsid w:val="4E8C1402"/>
    <w:rsid w:val="4EA95B3F"/>
    <w:rsid w:val="4EFE028C"/>
    <w:rsid w:val="4F0A4F22"/>
    <w:rsid w:val="4F594FBD"/>
    <w:rsid w:val="4F6208BA"/>
    <w:rsid w:val="4FA964E9"/>
    <w:rsid w:val="4FC74BC1"/>
    <w:rsid w:val="4FEC63D6"/>
    <w:rsid w:val="505345EA"/>
    <w:rsid w:val="505E04E8"/>
    <w:rsid w:val="5096582F"/>
    <w:rsid w:val="50A70C7B"/>
    <w:rsid w:val="50BB0282"/>
    <w:rsid w:val="50C316EB"/>
    <w:rsid w:val="50C35389"/>
    <w:rsid w:val="50F96FFC"/>
    <w:rsid w:val="510720B3"/>
    <w:rsid w:val="51275918"/>
    <w:rsid w:val="5133250E"/>
    <w:rsid w:val="51E11F6A"/>
    <w:rsid w:val="51FA127E"/>
    <w:rsid w:val="521239F1"/>
    <w:rsid w:val="523A3B34"/>
    <w:rsid w:val="523D6BF5"/>
    <w:rsid w:val="5255596C"/>
    <w:rsid w:val="52666914"/>
    <w:rsid w:val="526A6404"/>
    <w:rsid w:val="52743188"/>
    <w:rsid w:val="52A52712"/>
    <w:rsid w:val="52C2746F"/>
    <w:rsid w:val="52F361D0"/>
    <w:rsid w:val="52F65EE9"/>
    <w:rsid w:val="52F91536"/>
    <w:rsid w:val="53534B69"/>
    <w:rsid w:val="53605111"/>
    <w:rsid w:val="53863019"/>
    <w:rsid w:val="538709E1"/>
    <w:rsid w:val="53A5071A"/>
    <w:rsid w:val="53BF0089"/>
    <w:rsid w:val="53D277C0"/>
    <w:rsid w:val="53D57427"/>
    <w:rsid w:val="541F7E14"/>
    <w:rsid w:val="54667655"/>
    <w:rsid w:val="547E031E"/>
    <w:rsid w:val="549F323C"/>
    <w:rsid w:val="54A628CB"/>
    <w:rsid w:val="54AA6F8B"/>
    <w:rsid w:val="54AB2D04"/>
    <w:rsid w:val="54DF6509"/>
    <w:rsid w:val="55065E9B"/>
    <w:rsid w:val="550D6140"/>
    <w:rsid w:val="551E1754"/>
    <w:rsid w:val="552A709E"/>
    <w:rsid w:val="55647DBD"/>
    <w:rsid w:val="558D636D"/>
    <w:rsid w:val="55CE2806"/>
    <w:rsid w:val="55E24503"/>
    <w:rsid w:val="56310FE7"/>
    <w:rsid w:val="5674A6EC"/>
    <w:rsid w:val="569161E7"/>
    <w:rsid w:val="56A46172"/>
    <w:rsid w:val="571406EC"/>
    <w:rsid w:val="5748483A"/>
    <w:rsid w:val="576D673E"/>
    <w:rsid w:val="57851A73"/>
    <w:rsid w:val="57B61418"/>
    <w:rsid w:val="57CE136B"/>
    <w:rsid w:val="57D05621"/>
    <w:rsid w:val="58207565"/>
    <w:rsid w:val="58435A13"/>
    <w:rsid w:val="58444A9E"/>
    <w:rsid w:val="586B07E0"/>
    <w:rsid w:val="58855938"/>
    <w:rsid w:val="589874E2"/>
    <w:rsid w:val="58A40196"/>
    <w:rsid w:val="58B81917"/>
    <w:rsid w:val="58D95E36"/>
    <w:rsid w:val="58E45847"/>
    <w:rsid w:val="59362CCA"/>
    <w:rsid w:val="593D0CCD"/>
    <w:rsid w:val="59435A1B"/>
    <w:rsid w:val="597A7929"/>
    <w:rsid w:val="599F1E4E"/>
    <w:rsid w:val="59EA118C"/>
    <w:rsid w:val="5A162AD4"/>
    <w:rsid w:val="5A463472"/>
    <w:rsid w:val="5AD85ED5"/>
    <w:rsid w:val="5B0D4C71"/>
    <w:rsid w:val="5B4F6845"/>
    <w:rsid w:val="5B753431"/>
    <w:rsid w:val="5B905917"/>
    <w:rsid w:val="5BB701E0"/>
    <w:rsid w:val="5C215DC8"/>
    <w:rsid w:val="5CB70498"/>
    <w:rsid w:val="5CFA0384"/>
    <w:rsid w:val="5D046E06"/>
    <w:rsid w:val="5DA5144D"/>
    <w:rsid w:val="5DBB44E1"/>
    <w:rsid w:val="5DD76917"/>
    <w:rsid w:val="5E233FB7"/>
    <w:rsid w:val="5E364A4E"/>
    <w:rsid w:val="5E490D06"/>
    <w:rsid w:val="5E8D1F0C"/>
    <w:rsid w:val="5EAE6ED1"/>
    <w:rsid w:val="5EB04625"/>
    <w:rsid w:val="5EBE7E0C"/>
    <w:rsid w:val="5F053FD1"/>
    <w:rsid w:val="5F2A267B"/>
    <w:rsid w:val="5F337B7D"/>
    <w:rsid w:val="5F95179B"/>
    <w:rsid w:val="5FA1224C"/>
    <w:rsid w:val="602816AC"/>
    <w:rsid w:val="6037544B"/>
    <w:rsid w:val="60911000"/>
    <w:rsid w:val="60B74C37"/>
    <w:rsid w:val="60C30F61"/>
    <w:rsid w:val="6109503A"/>
    <w:rsid w:val="61282692"/>
    <w:rsid w:val="619E1C26"/>
    <w:rsid w:val="61EF7CBE"/>
    <w:rsid w:val="62233ED9"/>
    <w:rsid w:val="624F53C7"/>
    <w:rsid w:val="62593D9F"/>
    <w:rsid w:val="625E13D3"/>
    <w:rsid w:val="626D1BCA"/>
    <w:rsid w:val="62946B85"/>
    <w:rsid w:val="62A52B40"/>
    <w:rsid w:val="62C64177"/>
    <w:rsid w:val="62CF4061"/>
    <w:rsid w:val="62EC597B"/>
    <w:rsid w:val="63022642"/>
    <w:rsid w:val="6319336A"/>
    <w:rsid w:val="631A1780"/>
    <w:rsid w:val="63D66BDD"/>
    <w:rsid w:val="63DD0C16"/>
    <w:rsid w:val="63FB6033"/>
    <w:rsid w:val="640B2E77"/>
    <w:rsid w:val="64676364"/>
    <w:rsid w:val="647E7AED"/>
    <w:rsid w:val="6489785C"/>
    <w:rsid w:val="64994927"/>
    <w:rsid w:val="64C51278"/>
    <w:rsid w:val="64CA0F84"/>
    <w:rsid w:val="651064BC"/>
    <w:rsid w:val="652E1513"/>
    <w:rsid w:val="65717652"/>
    <w:rsid w:val="659C46CE"/>
    <w:rsid w:val="65B9177C"/>
    <w:rsid w:val="660C1032"/>
    <w:rsid w:val="667473F9"/>
    <w:rsid w:val="669B120A"/>
    <w:rsid w:val="66A55799"/>
    <w:rsid w:val="66A7157D"/>
    <w:rsid w:val="66AC6D22"/>
    <w:rsid w:val="66D87988"/>
    <w:rsid w:val="66EC2F44"/>
    <w:rsid w:val="670F05EC"/>
    <w:rsid w:val="673D6D3E"/>
    <w:rsid w:val="678A0557"/>
    <w:rsid w:val="67AA665E"/>
    <w:rsid w:val="67C972D1"/>
    <w:rsid w:val="68047260"/>
    <w:rsid w:val="682330CD"/>
    <w:rsid w:val="686314D3"/>
    <w:rsid w:val="687151C0"/>
    <w:rsid w:val="688F0957"/>
    <w:rsid w:val="68BD367A"/>
    <w:rsid w:val="68C263BA"/>
    <w:rsid w:val="68C74F83"/>
    <w:rsid w:val="68ED17D0"/>
    <w:rsid w:val="690818ED"/>
    <w:rsid w:val="692A1FF1"/>
    <w:rsid w:val="69434E61"/>
    <w:rsid w:val="698971FF"/>
    <w:rsid w:val="6A5A4B58"/>
    <w:rsid w:val="6A631B7F"/>
    <w:rsid w:val="6A9D777E"/>
    <w:rsid w:val="6AAD0186"/>
    <w:rsid w:val="6AD06BC8"/>
    <w:rsid w:val="6B153307"/>
    <w:rsid w:val="6B360558"/>
    <w:rsid w:val="6B3A7A5D"/>
    <w:rsid w:val="6B3B04E6"/>
    <w:rsid w:val="6B4D303F"/>
    <w:rsid w:val="6B634A05"/>
    <w:rsid w:val="6B637A3C"/>
    <w:rsid w:val="6BAE6901"/>
    <w:rsid w:val="6BC404DB"/>
    <w:rsid w:val="6C0920D8"/>
    <w:rsid w:val="6C2947E2"/>
    <w:rsid w:val="6C2D3A57"/>
    <w:rsid w:val="6C445178"/>
    <w:rsid w:val="6C5C7D67"/>
    <w:rsid w:val="6C646EE0"/>
    <w:rsid w:val="6CF47A31"/>
    <w:rsid w:val="6D3E5A07"/>
    <w:rsid w:val="6DBD7ABF"/>
    <w:rsid w:val="6DDF4286"/>
    <w:rsid w:val="6DFB21AE"/>
    <w:rsid w:val="6E152CDB"/>
    <w:rsid w:val="6E5F2B7C"/>
    <w:rsid w:val="6E6C0AC8"/>
    <w:rsid w:val="6E7F4B8D"/>
    <w:rsid w:val="6E8721BC"/>
    <w:rsid w:val="6EB72579"/>
    <w:rsid w:val="6ECC29BC"/>
    <w:rsid w:val="6ECD7B2C"/>
    <w:rsid w:val="6EEF3DD6"/>
    <w:rsid w:val="6F221D59"/>
    <w:rsid w:val="6F481423"/>
    <w:rsid w:val="6F4B746B"/>
    <w:rsid w:val="6F653D83"/>
    <w:rsid w:val="6F6A0FB1"/>
    <w:rsid w:val="6FCA1E38"/>
    <w:rsid w:val="704D257C"/>
    <w:rsid w:val="71175198"/>
    <w:rsid w:val="7179195E"/>
    <w:rsid w:val="717F1F53"/>
    <w:rsid w:val="718801FD"/>
    <w:rsid w:val="71931999"/>
    <w:rsid w:val="71AA0790"/>
    <w:rsid w:val="71AB18BE"/>
    <w:rsid w:val="71AF7537"/>
    <w:rsid w:val="71DD5DB6"/>
    <w:rsid w:val="72590028"/>
    <w:rsid w:val="72874010"/>
    <w:rsid w:val="72907369"/>
    <w:rsid w:val="72BF19FC"/>
    <w:rsid w:val="72D36E98"/>
    <w:rsid w:val="72FA6ED8"/>
    <w:rsid w:val="73423314"/>
    <w:rsid w:val="734C0DB6"/>
    <w:rsid w:val="736D2FDC"/>
    <w:rsid w:val="73FAD7E2"/>
    <w:rsid w:val="74324450"/>
    <w:rsid w:val="74650381"/>
    <w:rsid w:val="74A8517C"/>
    <w:rsid w:val="74C23919"/>
    <w:rsid w:val="74EB77C4"/>
    <w:rsid w:val="75260D1D"/>
    <w:rsid w:val="75760612"/>
    <w:rsid w:val="75A35605"/>
    <w:rsid w:val="75C8797B"/>
    <w:rsid w:val="75E17EDC"/>
    <w:rsid w:val="75F06371"/>
    <w:rsid w:val="762B0886"/>
    <w:rsid w:val="762F6E99"/>
    <w:rsid w:val="763D3B4D"/>
    <w:rsid w:val="766703E1"/>
    <w:rsid w:val="76B86E8E"/>
    <w:rsid w:val="76B96561"/>
    <w:rsid w:val="76DE4712"/>
    <w:rsid w:val="77642B72"/>
    <w:rsid w:val="77697EB7"/>
    <w:rsid w:val="778D031B"/>
    <w:rsid w:val="77CE623E"/>
    <w:rsid w:val="77F4117B"/>
    <w:rsid w:val="784309DA"/>
    <w:rsid w:val="7892370F"/>
    <w:rsid w:val="790A1A19"/>
    <w:rsid w:val="791505C8"/>
    <w:rsid w:val="794E5888"/>
    <w:rsid w:val="794F2189"/>
    <w:rsid w:val="795151D0"/>
    <w:rsid w:val="79541F00"/>
    <w:rsid w:val="79C04088"/>
    <w:rsid w:val="79C7027F"/>
    <w:rsid w:val="79F158D3"/>
    <w:rsid w:val="7A4A24F3"/>
    <w:rsid w:val="7A5E0B15"/>
    <w:rsid w:val="7AB160CE"/>
    <w:rsid w:val="7AF1471D"/>
    <w:rsid w:val="7AF83CFD"/>
    <w:rsid w:val="7B49619F"/>
    <w:rsid w:val="7B963BCA"/>
    <w:rsid w:val="7BCD4B65"/>
    <w:rsid w:val="7BCD777C"/>
    <w:rsid w:val="7BD858DD"/>
    <w:rsid w:val="7BE97AEA"/>
    <w:rsid w:val="7BF546E1"/>
    <w:rsid w:val="7C10780F"/>
    <w:rsid w:val="7C280612"/>
    <w:rsid w:val="7CB400F8"/>
    <w:rsid w:val="7CBF3B2D"/>
    <w:rsid w:val="7CE56503"/>
    <w:rsid w:val="7D2A2168"/>
    <w:rsid w:val="7D407BDD"/>
    <w:rsid w:val="7D6E02A7"/>
    <w:rsid w:val="7D7E4262"/>
    <w:rsid w:val="7D7F24B4"/>
    <w:rsid w:val="7DDD542C"/>
    <w:rsid w:val="7DF84014"/>
    <w:rsid w:val="7E327526"/>
    <w:rsid w:val="7E413C0D"/>
    <w:rsid w:val="7E467EAD"/>
    <w:rsid w:val="7EC559F0"/>
    <w:rsid w:val="7EC860DC"/>
    <w:rsid w:val="7F111831"/>
    <w:rsid w:val="7F1B445E"/>
    <w:rsid w:val="7F4A6959"/>
    <w:rsid w:val="7F713F9C"/>
    <w:rsid w:val="FDBD3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qFormat/>
    <w:uiPriority w:val="0"/>
    <w:pPr>
      <w:outlineLvl w:val="0"/>
    </w:pPr>
    <w:rPr>
      <w:rFonts w:eastAsia="Times New Roman"/>
      <w:b/>
      <w:bCs/>
      <w:sz w:val="28"/>
      <w:szCs w:val="28"/>
    </w:rPr>
  </w:style>
  <w:style w:type="paragraph" w:styleId="3">
    <w:name w:val="heading 2"/>
    <w:basedOn w:val="1"/>
    <w:next w:val="1"/>
    <w:link w:val="28"/>
    <w:unhideWhenUsed/>
    <w:qFormat/>
    <w:uiPriority w:val="0"/>
    <w:pPr>
      <w:outlineLvl w:val="1"/>
    </w:pPr>
    <w:rPr>
      <w:rFonts w:eastAsia="Times New Roman"/>
      <w:b/>
      <w:bCs/>
      <w:sz w:val="24"/>
    </w:rPr>
  </w:style>
  <w:style w:type="paragraph" w:styleId="4">
    <w:name w:val="heading 3"/>
    <w:basedOn w:val="1"/>
    <w:next w:val="1"/>
    <w:link w:val="29"/>
    <w:unhideWhenUsed/>
    <w:qFormat/>
    <w:uiPriority w:val="0"/>
    <w:pPr>
      <w:jc w:val="left"/>
      <w:outlineLvl w:val="2"/>
    </w:pPr>
    <w:rPr>
      <w:rFonts w:eastAsia="Times New Roman"/>
      <w:u w:val="single"/>
    </w:rPr>
  </w:style>
  <w:style w:type="paragraph" w:styleId="5">
    <w:name w:val="heading 4"/>
    <w:basedOn w:val="1"/>
    <w:next w:val="1"/>
    <w:link w:val="30"/>
    <w:unhideWhenUsed/>
    <w:qFormat/>
    <w:uiPriority w:val="0"/>
    <w:pPr>
      <w:keepNext/>
      <w:spacing w:before="240" w:after="60"/>
      <w:outlineLvl w:val="3"/>
    </w:pPr>
    <w:rPr>
      <w:rFonts w:eastAsia="Times New Roman"/>
      <w:b/>
      <w:bCs/>
      <w:szCs w:val="28"/>
    </w:rPr>
  </w:style>
  <w:style w:type="paragraph" w:styleId="6">
    <w:name w:val="heading 5"/>
    <w:basedOn w:val="1"/>
    <w:next w:val="1"/>
    <w:link w:val="31"/>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unhideWhenUsed/>
    <w:qFormat/>
    <w:uiPriority w:val="0"/>
    <w:pPr>
      <w:spacing w:before="240" w:after="60"/>
      <w:outlineLvl w:val="5"/>
    </w:pPr>
    <w:rPr>
      <w:rFonts w:eastAsia="Times New Roman"/>
      <w:b/>
      <w:bCs/>
    </w:rPr>
  </w:style>
  <w:style w:type="paragraph" w:styleId="8">
    <w:name w:val="heading 7"/>
    <w:basedOn w:val="1"/>
    <w:next w:val="1"/>
    <w:link w:val="33"/>
    <w:unhideWhenUsed/>
    <w:qFormat/>
    <w:uiPriority w:val="0"/>
    <w:pPr>
      <w:spacing w:before="240" w:after="60"/>
      <w:outlineLvl w:val="6"/>
    </w:pPr>
    <w:rPr>
      <w:rFonts w:cs="宋体"/>
      <w:sz w:val="24"/>
      <w:szCs w:val="24"/>
    </w:rPr>
  </w:style>
  <w:style w:type="paragraph" w:styleId="9">
    <w:name w:val="heading 8"/>
    <w:basedOn w:val="1"/>
    <w:next w:val="1"/>
    <w:link w:val="34"/>
    <w:unhideWhenUsed/>
    <w:qFormat/>
    <w:uiPriority w:val="0"/>
    <w:pPr>
      <w:spacing w:before="240" w:after="60"/>
      <w:outlineLvl w:val="7"/>
    </w:pPr>
    <w:rPr>
      <w:rFonts w:cs="宋体"/>
      <w:i/>
      <w:iCs/>
      <w:sz w:val="24"/>
      <w:szCs w:val="24"/>
    </w:rPr>
  </w:style>
  <w:style w:type="paragraph" w:styleId="10">
    <w:name w:val="heading 9"/>
    <w:basedOn w:val="1"/>
    <w:next w:val="1"/>
    <w:link w:val="35"/>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49"/>
    <w:qFormat/>
    <w:uiPriority w:val="0"/>
    <w:pPr>
      <w:widowControl/>
      <w:snapToGrid w:val="0"/>
      <w:jc w:val="center"/>
    </w:pPr>
    <w:rPr>
      <w:rFonts w:eastAsia="宋体"/>
      <w:b/>
      <w:bCs/>
      <w:kern w:val="2"/>
      <w:sz w:val="20"/>
      <w:szCs w:val="20"/>
      <w:lang w:eastAsia="zh-CN"/>
    </w:rPr>
  </w:style>
  <w:style w:type="paragraph" w:styleId="12">
    <w:name w:val="annotation text"/>
    <w:basedOn w:val="1"/>
    <w:link w:val="44"/>
    <w:semiHidden/>
    <w:unhideWhenUsed/>
    <w:qFormat/>
    <w:uiPriority w:val="99"/>
    <w:pPr>
      <w:jc w:val="left"/>
    </w:pPr>
  </w:style>
  <w:style w:type="paragraph" w:styleId="13">
    <w:name w:val="Body Text"/>
    <w:basedOn w:val="1"/>
    <w:link w:val="36"/>
    <w:semiHidden/>
    <w:unhideWhenUsed/>
    <w:qFormat/>
    <w:uiPriority w:val="99"/>
    <w:rPr>
      <w:sz w:val="20"/>
      <w:szCs w:val="20"/>
    </w:rPr>
  </w:style>
  <w:style w:type="paragraph" w:styleId="14">
    <w:name w:val="List 2"/>
    <w:basedOn w:val="1"/>
    <w:semiHidden/>
    <w:unhideWhenUsed/>
    <w:qFormat/>
    <w:uiPriority w:val="99"/>
    <w:pPr>
      <w:ind w:left="100" w:leftChars="200" w:hanging="200" w:hangingChars="200"/>
      <w:contextualSpacing/>
    </w:pPr>
  </w:style>
  <w:style w:type="paragraph" w:styleId="15">
    <w:name w:val="Balloon Text"/>
    <w:basedOn w:val="1"/>
    <w:link w:val="41"/>
    <w:semiHidden/>
    <w:unhideWhenUsed/>
    <w:qFormat/>
    <w:uiPriority w:val="99"/>
    <w:pPr>
      <w:spacing w:after="0"/>
    </w:pPr>
    <w:rPr>
      <w:rFonts w:ascii="Microsoft YaHei UI" w:eastAsia="Microsoft YaHei UI"/>
      <w:sz w:val="18"/>
      <w:szCs w:val="18"/>
    </w:rPr>
  </w:style>
  <w:style w:type="paragraph" w:styleId="16">
    <w:name w:val="footer"/>
    <w:basedOn w:val="1"/>
    <w:link w:val="43"/>
    <w:unhideWhenUsed/>
    <w:qFormat/>
    <w:uiPriority w:val="99"/>
    <w:pPr>
      <w:tabs>
        <w:tab w:val="center" w:pos="4320"/>
        <w:tab w:val="right" w:pos="8640"/>
      </w:tabs>
      <w:spacing w:after="0"/>
    </w:pPr>
  </w:style>
  <w:style w:type="paragraph" w:styleId="17">
    <w:name w:val="header"/>
    <w:basedOn w:val="1"/>
    <w:link w:val="42"/>
    <w:unhideWhenUsed/>
    <w:qFormat/>
    <w:uiPriority w:val="99"/>
    <w:pPr>
      <w:tabs>
        <w:tab w:val="center" w:pos="4320"/>
        <w:tab w:val="right" w:pos="8640"/>
      </w:tabs>
      <w:spacing w:after="0"/>
    </w:pPr>
  </w:style>
  <w:style w:type="paragraph" w:styleId="18">
    <w:name w:val="List"/>
    <w:basedOn w:val="1"/>
    <w:semiHidden/>
    <w:unhideWhenUsed/>
    <w:qFormat/>
    <w:uiPriority w:val="99"/>
    <w:pPr>
      <w:ind w:left="200" w:hanging="200" w:hangingChars="200"/>
      <w:contextualSpacing/>
    </w:pPr>
  </w:style>
  <w:style w:type="paragraph" w:styleId="19">
    <w:name w:val="Normal (Web)"/>
    <w:basedOn w:val="1"/>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semiHidden/>
    <w:unhideWhenUsed/>
    <w:qFormat/>
    <w:uiPriority w:val="99"/>
    <w:rPr>
      <w:b/>
      <w:bCs/>
    </w:rPr>
  </w:style>
  <w:style w:type="table" w:styleId="22">
    <w:name w:val="Table Grid"/>
    <w:basedOn w:val="2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2"/>
    <w:qFormat/>
    <w:uiPriority w:val="0"/>
    <w:rPr>
      <w:rFonts w:ascii="Times New Roman" w:hAnsi="Times New Roman" w:eastAsia="Times New Roman" w:cs="Times New Roman"/>
      <w:b/>
      <w:bCs/>
      <w:sz w:val="28"/>
      <w:szCs w:val="28"/>
      <w:lang w:val="en-GB" w:eastAsia="en-US"/>
    </w:rPr>
  </w:style>
  <w:style w:type="character" w:customStyle="1" w:styleId="28">
    <w:name w:val="标题 2 Char"/>
    <w:basedOn w:val="23"/>
    <w:link w:val="3"/>
    <w:qFormat/>
    <w:uiPriority w:val="0"/>
    <w:rPr>
      <w:rFonts w:ascii="Times New Roman" w:hAnsi="Times New Roman" w:eastAsia="Times New Roman" w:cs="Times New Roman"/>
      <w:b/>
      <w:bCs/>
      <w:sz w:val="24"/>
      <w:lang w:val="en-GB" w:eastAsia="en-US"/>
    </w:rPr>
  </w:style>
  <w:style w:type="character" w:customStyle="1" w:styleId="29">
    <w:name w:val="标题 3 Char"/>
    <w:basedOn w:val="23"/>
    <w:link w:val="4"/>
    <w:qFormat/>
    <w:uiPriority w:val="0"/>
    <w:rPr>
      <w:rFonts w:ascii="Times New Roman" w:hAnsi="Times New Roman" w:eastAsia="Times New Roman" w:cs="Times New Roman"/>
      <w:u w:val="single"/>
      <w:lang w:val="en-GB" w:eastAsia="en-US"/>
    </w:rPr>
  </w:style>
  <w:style w:type="character" w:customStyle="1" w:styleId="30">
    <w:name w:val="标题 4 Char"/>
    <w:basedOn w:val="23"/>
    <w:link w:val="5"/>
    <w:semiHidden/>
    <w:qFormat/>
    <w:uiPriority w:val="0"/>
    <w:rPr>
      <w:rFonts w:ascii="Times New Roman" w:hAnsi="Times New Roman" w:eastAsia="Times New Roman" w:cs="Times New Roman"/>
      <w:b/>
      <w:bCs/>
      <w:szCs w:val="28"/>
      <w:lang w:val="en-GB" w:eastAsia="en-US"/>
    </w:rPr>
  </w:style>
  <w:style w:type="character" w:customStyle="1" w:styleId="31">
    <w:name w:val="标题 5 Char"/>
    <w:basedOn w:val="23"/>
    <w:link w:val="6"/>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Char"/>
    <w:basedOn w:val="23"/>
    <w:link w:val="7"/>
    <w:semiHidden/>
    <w:qFormat/>
    <w:uiPriority w:val="0"/>
    <w:rPr>
      <w:rFonts w:ascii="Times New Roman" w:hAnsi="Times New Roman" w:eastAsia="Times New Roman" w:cs="Times New Roman"/>
      <w:b/>
      <w:bCs/>
      <w:lang w:val="en-GB" w:eastAsia="en-US"/>
    </w:rPr>
  </w:style>
  <w:style w:type="character" w:customStyle="1" w:styleId="33">
    <w:name w:val="标题 7 Char"/>
    <w:basedOn w:val="23"/>
    <w:link w:val="8"/>
    <w:semiHidden/>
    <w:qFormat/>
    <w:uiPriority w:val="99"/>
    <w:rPr>
      <w:rFonts w:ascii="Times New Roman" w:hAnsi="Times New Roman" w:cs="宋体"/>
      <w:sz w:val="24"/>
      <w:szCs w:val="24"/>
      <w:lang w:val="en-GB" w:eastAsia="en-US"/>
    </w:rPr>
  </w:style>
  <w:style w:type="character" w:customStyle="1" w:styleId="34">
    <w:name w:val="标题 8 Char"/>
    <w:basedOn w:val="23"/>
    <w:link w:val="9"/>
    <w:semiHidden/>
    <w:qFormat/>
    <w:uiPriority w:val="99"/>
    <w:rPr>
      <w:rFonts w:ascii="Times New Roman" w:hAnsi="Times New Roman" w:cs="宋体"/>
      <w:i/>
      <w:iCs/>
      <w:sz w:val="24"/>
      <w:szCs w:val="24"/>
      <w:lang w:val="en-GB" w:eastAsia="en-US"/>
    </w:rPr>
  </w:style>
  <w:style w:type="character" w:customStyle="1" w:styleId="35">
    <w:name w:val="标题 9 Char"/>
    <w:basedOn w:val="23"/>
    <w:link w:val="10"/>
    <w:semiHidden/>
    <w:qFormat/>
    <w:uiPriority w:val="99"/>
    <w:rPr>
      <w:rFonts w:ascii="Arial" w:hAnsi="Arial" w:cs="Arial"/>
      <w:lang w:val="en-GB" w:eastAsia="en-US"/>
    </w:rPr>
  </w:style>
  <w:style w:type="character" w:customStyle="1" w:styleId="36">
    <w:name w:val="正文文本 Char"/>
    <w:basedOn w:val="23"/>
    <w:link w:val="13"/>
    <w:semiHidden/>
    <w:qFormat/>
    <w:uiPriority w:val="99"/>
    <w:rPr>
      <w:rFonts w:ascii="Times New Roman" w:hAnsi="Times New Roman" w:cs="Times New Roman"/>
      <w:sz w:val="20"/>
      <w:szCs w:val="20"/>
      <w:lang w:val="en-GB" w:eastAsia="en-US"/>
    </w:rPr>
  </w:style>
  <w:style w:type="paragraph" w:styleId="37">
    <w:name w:val="List Paragraph"/>
    <w:basedOn w:val="1"/>
    <w:link w:val="47"/>
    <w:qFormat/>
    <w:uiPriority w:val="34"/>
    <w:pPr>
      <w:ind w:left="720"/>
      <w:contextualSpacing/>
    </w:pPr>
  </w:style>
  <w:style w:type="paragraph" w:customStyle="1" w:styleId="38">
    <w:name w:val="References"/>
    <w:basedOn w:val="1"/>
    <w:qFormat/>
    <w:uiPriority w:val="0"/>
    <w:pPr>
      <w:widowControl/>
      <w:numPr>
        <w:ilvl w:val="0"/>
        <w:numId w:val="1"/>
      </w:numPr>
      <w:adjustRightInd/>
      <w:spacing w:after="0"/>
    </w:pPr>
    <w:rPr>
      <w:sz w:val="16"/>
      <w:szCs w:val="16"/>
    </w:rPr>
  </w:style>
  <w:style w:type="character" w:customStyle="1" w:styleId="39">
    <w:name w:val="main text Char"/>
    <w:basedOn w:val="23"/>
    <w:link w:val="40"/>
    <w:qFormat/>
    <w:locked/>
    <w:uiPriority w:val="0"/>
    <w:rPr>
      <w:rFonts w:ascii="Malgun Gothic" w:hAnsi="Malgun Gothic" w:eastAsia="Malgun Gothic" w:cs="Batang"/>
      <w:lang w:val="en-GB" w:eastAsia="ko-KR"/>
    </w:rPr>
  </w:style>
  <w:style w:type="paragraph" w:customStyle="1" w:styleId="40">
    <w:name w:val="main text"/>
    <w:basedOn w:val="1"/>
    <w:link w:val="39"/>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Char"/>
    <w:basedOn w:val="23"/>
    <w:link w:val="15"/>
    <w:semiHidden/>
    <w:qFormat/>
    <w:uiPriority w:val="99"/>
    <w:rPr>
      <w:rFonts w:ascii="Microsoft YaHei UI" w:hAnsi="Times New Roman" w:eastAsia="Microsoft YaHei UI" w:cs="Times New Roman"/>
      <w:sz w:val="18"/>
      <w:szCs w:val="18"/>
      <w:lang w:val="en-GB" w:eastAsia="en-US"/>
    </w:rPr>
  </w:style>
  <w:style w:type="character" w:customStyle="1" w:styleId="42">
    <w:name w:val="页眉 Char"/>
    <w:basedOn w:val="23"/>
    <w:link w:val="17"/>
    <w:qFormat/>
    <w:uiPriority w:val="99"/>
    <w:rPr>
      <w:rFonts w:ascii="Times New Roman" w:hAnsi="Times New Roman" w:cs="Times New Roman"/>
      <w:lang w:val="en-GB" w:eastAsia="en-US"/>
    </w:rPr>
  </w:style>
  <w:style w:type="character" w:customStyle="1" w:styleId="43">
    <w:name w:val="页脚 Char"/>
    <w:basedOn w:val="23"/>
    <w:link w:val="16"/>
    <w:qFormat/>
    <w:uiPriority w:val="99"/>
    <w:rPr>
      <w:rFonts w:ascii="Times New Roman" w:hAnsi="Times New Roman" w:cs="Times New Roman"/>
      <w:lang w:val="en-GB" w:eastAsia="en-US"/>
    </w:rPr>
  </w:style>
  <w:style w:type="character" w:customStyle="1" w:styleId="44">
    <w:name w:val="批注文字 Char"/>
    <w:basedOn w:val="23"/>
    <w:link w:val="12"/>
    <w:semiHidden/>
    <w:qFormat/>
    <w:uiPriority w:val="99"/>
    <w:rPr>
      <w:rFonts w:ascii="Times New Roman" w:hAnsi="Times New Roman" w:cs="Times New Roman"/>
      <w:lang w:val="en-GB" w:eastAsia="en-US"/>
    </w:rPr>
  </w:style>
  <w:style w:type="character" w:customStyle="1" w:styleId="45">
    <w:name w:val="批注主题 Char"/>
    <w:basedOn w:val="44"/>
    <w:link w:val="20"/>
    <w:semiHidden/>
    <w:qFormat/>
    <w:uiPriority w:val="99"/>
    <w:rPr>
      <w:rFonts w:ascii="Times New Roman" w:hAnsi="Times New Roman" w:cs="Times New Roman"/>
      <w:b/>
      <w:bCs/>
      <w:lang w:val="en-GB" w:eastAsia="en-US"/>
    </w:rPr>
  </w:style>
  <w:style w:type="paragraph" w:customStyle="1" w:styleId="46">
    <w:name w:val="Revision"/>
    <w:hidden/>
    <w:semiHidden/>
    <w:qFormat/>
    <w:uiPriority w:val="99"/>
    <w:pPr>
      <w:spacing w:after="0" w:line="240" w:lineRule="auto"/>
    </w:pPr>
    <w:rPr>
      <w:rFonts w:ascii="Times New Roman" w:hAnsi="Times New Roman" w:cs="Times New Roman" w:eastAsiaTheme="minorEastAsia"/>
      <w:sz w:val="22"/>
      <w:szCs w:val="22"/>
      <w:lang w:val="en-GB" w:eastAsia="en-US" w:bidi="ar-SA"/>
    </w:rPr>
  </w:style>
  <w:style w:type="character" w:customStyle="1" w:styleId="47">
    <w:name w:val="列出段落 Char"/>
    <w:link w:val="37"/>
    <w:qFormat/>
    <w:uiPriority w:val="34"/>
    <w:rPr>
      <w:rFonts w:ascii="Times New Roman" w:hAnsi="Times New Roman" w:cs="Times New Roman"/>
      <w:lang w:val="en-GB" w:eastAsia="en-US"/>
    </w:rPr>
  </w:style>
  <w:style w:type="character" w:customStyle="1" w:styleId="48">
    <w:name w:val="normaltextrun1"/>
    <w:basedOn w:val="23"/>
    <w:qFormat/>
    <w:uiPriority w:val="0"/>
  </w:style>
  <w:style w:type="character" w:customStyle="1" w:styleId="49">
    <w:name w:val="题注 Char"/>
    <w:link w:val="11"/>
    <w:qFormat/>
    <w:uiPriority w:val="0"/>
    <w:rPr>
      <w:rFonts w:ascii="Times New Roman" w:hAnsi="Times New Roman" w:eastAsia="宋体" w:cs="Times New Roman"/>
      <w:b/>
      <w:bCs/>
      <w:kern w:val="2"/>
      <w:sz w:val="20"/>
      <w:szCs w:val="20"/>
      <w:lang w:val="en-GB"/>
    </w:rPr>
  </w:style>
  <w:style w:type="character" w:customStyle="1" w:styleId="50">
    <w:name w:val="resultitem"/>
    <w:basedOn w:val="23"/>
    <w:qFormat/>
    <w:uiPriority w:val="0"/>
  </w:style>
  <w:style w:type="paragraph" w:customStyle="1" w:styleId="51">
    <w:name w:val="TH"/>
    <w:basedOn w:val="1"/>
    <w:link w:val="54"/>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sz w:val="16"/>
      <w:szCs w:val="20"/>
      <w:lang w:val="en-GB" w:eastAsia="sv-SE" w:bidi="ar-SA"/>
    </w:rPr>
  </w:style>
  <w:style w:type="character" w:customStyle="1" w:styleId="53">
    <w:name w:val="PL Char"/>
    <w:link w:val="52"/>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qFormat/>
    <w:uiPriority w:val="0"/>
    <w:rPr>
      <w:rFonts w:ascii="Arial" w:hAnsi="Arial" w:eastAsia="MS Mincho" w:cs="Times New Roman"/>
      <w:b/>
      <w:sz w:val="20"/>
      <w:szCs w:val="20"/>
      <w:lang w:val="en-GB" w:eastAsia="en-US"/>
    </w:rPr>
  </w:style>
  <w:style w:type="paragraph" w:customStyle="1" w:styleId="55">
    <w:name w:val="TAC"/>
    <w:basedOn w:val="1"/>
    <w:link w:val="57"/>
    <w:qFormat/>
    <w:uiPriority w:val="0"/>
    <w:pPr>
      <w:keepNext/>
      <w:keepLines/>
      <w:widowControl/>
      <w:autoSpaceDE/>
      <w:autoSpaceDN/>
      <w:adjustRightInd/>
      <w:spacing w:after="0"/>
      <w:jc w:val="center"/>
    </w:pPr>
    <w:rPr>
      <w:rFonts w:ascii="Arial" w:hAnsi="Arial"/>
      <w:sz w:val="18"/>
      <w:szCs w:val="20"/>
    </w:rPr>
  </w:style>
  <w:style w:type="paragraph" w:customStyle="1" w:styleId="56">
    <w:name w:val="TAN"/>
    <w:basedOn w:val="1"/>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7">
    <w:name w:val="TAC Char"/>
    <w:link w:val="55"/>
    <w:qFormat/>
    <w:locked/>
    <w:uiPriority w:val="0"/>
    <w:rPr>
      <w:rFonts w:ascii="Arial" w:hAnsi="Arial" w:cs="Times New Roman"/>
      <w:sz w:val="18"/>
      <w:szCs w:val="20"/>
      <w:lang w:val="en-GB" w:eastAsia="en-US"/>
    </w:rPr>
  </w:style>
  <w:style w:type="paragraph" w:customStyle="1" w:styleId="58">
    <w:name w:val="TAH"/>
    <w:basedOn w:val="55"/>
    <w:link w:val="59"/>
    <w:qFormat/>
    <w:uiPriority w:val="0"/>
    <w:pPr>
      <w:overflowPunct w:val="0"/>
      <w:autoSpaceDE w:val="0"/>
      <w:autoSpaceDN w:val="0"/>
      <w:adjustRightInd w:val="0"/>
      <w:textAlignment w:val="baseline"/>
    </w:pPr>
    <w:rPr>
      <w:rFonts w:eastAsia="宋体"/>
      <w:b/>
    </w:rPr>
  </w:style>
  <w:style w:type="character" w:customStyle="1" w:styleId="59">
    <w:name w:val="TAH Car"/>
    <w:link w:val="58"/>
    <w:qFormat/>
    <w:locked/>
    <w:uiPriority w:val="0"/>
    <w:rPr>
      <w:rFonts w:ascii="Arial" w:hAnsi="Arial" w:eastAsia="宋体" w:cs="Times New Roman"/>
      <w:b/>
      <w:sz w:val="18"/>
      <w:szCs w:val="20"/>
      <w:lang w:val="en-GB" w:eastAsia="en-US"/>
    </w:rPr>
  </w:style>
  <w:style w:type="paragraph" w:customStyle="1" w:styleId="60">
    <w:name w:val="TF"/>
    <w:basedOn w:val="51"/>
    <w:link w:val="61"/>
    <w:qFormat/>
    <w:uiPriority w:val="0"/>
    <w:pPr>
      <w:keepNext w:val="0"/>
      <w:spacing w:before="0" w:after="240"/>
    </w:pPr>
    <w:rPr>
      <w:rFonts w:eastAsiaTheme="minorEastAsia"/>
    </w:rPr>
  </w:style>
  <w:style w:type="character" w:customStyle="1" w:styleId="61">
    <w:name w:val="TF Char"/>
    <w:link w:val="60"/>
    <w:qFormat/>
    <w:uiPriority w:val="0"/>
    <w:rPr>
      <w:rFonts w:ascii="Arial" w:hAnsi="Arial" w:cs="Times New Roman"/>
      <w:b/>
      <w:sz w:val="20"/>
      <w:szCs w:val="20"/>
      <w:lang w:val="en-GB" w:eastAsia="en-US"/>
    </w:rPr>
  </w:style>
  <w:style w:type="paragraph" w:customStyle="1" w:styleId="62">
    <w:name w:val="B1"/>
    <w:basedOn w:val="18"/>
    <w:link w:val="63"/>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3">
    <w:name w:val="B1 Char"/>
    <w:link w:val="62"/>
    <w:qFormat/>
    <w:locked/>
    <w:uiPriority w:val="0"/>
    <w:rPr>
      <w:rFonts w:ascii="Times New Roman" w:hAnsi="Times New Roman" w:cs="Times New Roman"/>
      <w:sz w:val="20"/>
      <w:szCs w:val="20"/>
      <w:lang w:val="en-GB" w:eastAsia="en-US"/>
    </w:rPr>
  </w:style>
  <w:style w:type="paragraph" w:customStyle="1" w:styleId="64">
    <w:name w:val="B2"/>
    <w:basedOn w:val="14"/>
    <w:link w:val="65"/>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5">
    <w:name w:val="B2 Char"/>
    <w:link w:val="64"/>
    <w:qFormat/>
    <w:uiPriority w:val="0"/>
    <w:rPr>
      <w:rFonts w:ascii="Times New Roman" w:hAnsi="Times New Roman" w:cs="Times New Roman"/>
      <w:sz w:val="20"/>
      <w:szCs w:val="20"/>
      <w:lang w:val="en-GB" w:eastAsia="en-US"/>
    </w:rPr>
  </w:style>
  <w:style w:type="table" w:customStyle="1" w:styleId="66">
    <w:name w:val="表 (格子)31"/>
    <w:basedOn w:val="21"/>
    <w:qFormat/>
    <w:uiPriority w:val="39"/>
    <w:pPr>
      <w:overflowPunct w:val="0"/>
      <w:autoSpaceDE w:val="0"/>
      <w:autoSpaceDN w:val="0"/>
      <w:adjustRightInd w:val="0"/>
      <w:spacing w:after="180"/>
      <w:textAlignment w:val="baseline"/>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font31"/>
    <w:basedOn w:val="23"/>
    <w:qFormat/>
    <w:uiPriority w:val="0"/>
    <w:rPr>
      <w:rFonts w:hint="default" w:ascii="Times New Roman" w:hAnsi="Times New Roman" w:cs="Times New Roman"/>
      <w:color w:val="000000"/>
      <w:sz w:val="20"/>
      <w:szCs w:val="20"/>
      <w:u w:val="none"/>
    </w:rPr>
  </w:style>
  <w:style w:type="character" w:customStyle="1" w:styleId="68">
    <w:name w:val="font01"/>
    <w:basedOn w:val="23"/>
    <w:qFormat/>
    <w:uiPriority w:val="0"/>
    <w:rPr>
      <w:rFonts w:hint="eastAsia" w:ascii="宋体" w:hAnsi="宋体" w:eastAsia="宋体" w:cs="宋体"/>
      <w:color w:val="000000"/>
      <w:sz w:val="20"/>
      <w:szCs w:val="20"/>
      <w:u w:val="none"/>
    </w:rPr>
  </w:style>
  <w:style w:type="character" w:customStyle="1" w:styleId="69">
    <w:name w:val="font11"/>
    <w:basedOn w:val="23"/>
    <w:qFormat/>
    <w:uiPriority w:val="0"/>
    <w:rPr>
      <w:rFonts w:hint="default" w:ascii="Times New Roman" w:hAnsi="Times New Roman" w:cs="Times New Roman"/>
      <w:color w:val="000000"/>
      <w:sz w:val="20"/>
      <w:szCs w:val="20"/>
      <w:u w:val="none"/>
    </w:rPr>
  </w:style>
  <w:style w:type="paragraph" w:customStyle="1" w:styleId="70">
    <w:name w:val="NO"/>
    <w:basedOn w:val="1"/>
    <w:qFormat/>
    <w:uiPriority w:val="0"/>
    <w:pPr>
      <w:keepLines/>
      <w:ind w:left="1135" w:hanging="851"/>
    </w:pPr>
  </w:style>
  <w:style w:type="paragraph" w:customStyle="1" w:styleId="71">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Huawei Technologies Co.,Ltd.</Company>
  <Pages>11</Pages>
  <Words>1529</Words>
  <Characters>7972</Characters>
  <Lines>524</Lines>
  <Paragraphs>245</Paragraphs>
  <TotalTime>1</TotalTime>
  <ScaleCrop>false</ScaleCrop>
  <LinksUpToDate>false</LinksUpToDate>
  <CharactersWithSpaces>9448</CharactersWithSpaces>
  <Application>WWO_base_provider_20210929220102-c9fcf70066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2022-04-30T02:01:00Z</dcterms:created>
  <dc:creator>Zhouyue (Sol)</dc:creator>
  <cp:lastModifiedBy>YONG</cp:lastModifiedBy>
  <dcterms:modified xsi:type="dcterms:W3CDTF">2022-09-30T18:53:01Z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2052-0.0.0.0</vt:lpwstr>
  </property>
  <property fmtid="{D5CDD505-2E9C-101B-9397-08002B2CF9AE}" pid="10" name="ICV">
    <vt:lpwstr>5FB31FB26C0448B39F38642770167862</vt:lpwstr>
  </property>
</Properties>
</file>